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613" w:rsidRPr="00F64619" w:rsidRDefault="00F73372" w:rsidP="006D6CA6">
      <w:pPr>
        <w:pStyle w:val="ListParagraph"/>
        <w:spacing w:after="100"/>
        <w:jc w:val="center"/>
        <w:rPr>
          <w:b/>
          <w:bCs/>
        </w:rPr>
      </w:pPr>
      <w:r>
        <w:rPr>
          <w:noProof/>
        </w:rPr>
        <w:drawing>
          <wp:anchor distT="0" distB="0" distL="114300" distR="114300" simplePos="0" relativeHeight="251659776" behindDoc="0" locked="0" layoutInCell="1" allowOverlap="1">
            <wp:simplePos x="0" y="0"/>
            <wp:positionH relativeFrom="column">
              <wp:posOffset>2914650</wp:posOffset>
            </wp:positionH>
            <wp:positionV relativeFrom="paragraph">
              <wp:posOffset>-571500</wp:posOffset>
            </wp:positionV>
            <wp:extent cx="590550" cy="581025"/>
            <wp:effectExtent l="19050" t="0" r="0" b="0"/>
            <wp:wrapTight wrapText="bothSides">
              <wp:wrapPolygon edited="0">
                <wp:start x="-697" y="0"/>
                <wp:lineTo x="-697" y="20538"/>
                <wp:lineTo x="21600" y="20538"/>
                <wp:lineTo x="21600" y="0"/>
                <wp:lineTo x="-69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90550" cy="581025"/>
                    </a:xfrm>
                    <a:prstGeom prst="rect">
                      <a:avLst/>
                    </a:prstGeom>
                    <a:noFill/>
                  </pic:spPr>
                </pic:pic>
              </a:graphicData>
            </a:graphic>
          </wp:anchor>
        </w:drawing>
      </w:r>
      <w:r w:rsidR="00361613" w:rsidRPr="00F64619">
        <w:rPr>
          <w:b/>
          <w:bCs/>
        </w:rPr>
        <w:t>Independent Elections Commission (IEC)</w:t>
      </w:r>
    </w:p>
    <w:p w:rsidR="00361613" w:rsidRDefault="00E12084" w:rsidP="00611967">
      <w:pPr>
        <w:jc w:val="center"/>
        <w:rPr>
          <w:b/>
          <w:bCs/>
          <w:i/>
          <w:iCs/>
        </w:rPr>
      </w:pPr>
      <w:r>
        <w:rPr>
          <w:b/>
          <w:bCs/>
          <w:i/>
          <w:iCs/>
        </w:rPr>
        <w:t>SUMM</w:t>
      </w:r>
      <w:r w:rsidR="007422AD">
        <w:rPr>
          <w:b/>
          <w:bCs/>
          <w:i/>
          <w:iCs/>
        </w:rPr>
        <w:t xml:space="preserve">ARY OF SAMPLING </w:t>
      </w:r>
      <w:r w:rsidR="0021494C">
        <w:rPr>
          <w:b/>
          <w:bCs/>
          <w:i/>
          <w:iCs/>
        </w:rPr>
        <w:t>AN</w:t>
      </w:r>
      <w:r w:rsidR="007422AD">
        <w:rPr>
          <w:b/>
          <w:bCs/>
          <w:i/>
          <w:iCs/>
        </w:rPr>
        <w:t>D AUDIT PROCESS</w:t>
      </w:r>
    </w:p>
    <w:p w:rsidR="00361613" w:rsidRPr="00F17E15" w:rsidRDefault="00361613" w:rsidP="008D7A7C">
      <w:pPr>
        <w:pStyle w:val="ListParagraph"/>
        <w:spacing w:after="100"/>
        <w:ind w:left="0"/>
        <w:rPr>
          <w:b/>
          <w:bCs/>
          <w:u w:val="single"/>
        </w:rPr>
      </w:pPr>
      <w:r w:rsidRPr="00F17E15">
        <w:rPr>
          <w:b/>
          <w:bCs/>
          <w:u w:val="single"/>
        </w:rPr>
        <w:t>Background</w:t>
      </w:r>
    </w:p>
    <w:p w:rsidR="00361613" w:rsidRPr="00F64619" w:rsidRDefault="00361613" w:rsidP="00627FF3">
      <w:pPr>
        <w:pStyle w:val="ListParagraph"/>
        <w:tabs>
          <w:tab w:val="left" w:pos="8910"/>
        </w:tabs>
        <w:spacing w:after="100"/>
        <w:ind w:left="450" w:right="450"/>
        <w:jc w:val="both"/>
      </w:pPr>
      <w:r w:rsidRPr="00F64619">
        <w:t xml:space="preserve">On 8 September 2009, the Electoral Complaints Commission (ECC) issued an order to the Independent Election Commission (IEC) to </w:t>
      </w:r>
      <w:r w:rsidR="00040679">
        <w:t>“</w:t>
      </w:r>
      <w:r w:rsidR="00BA4701">
        <w:t>…</w:t>
      </w:r>
      <w:r w:rsidRPr="00F64619">
        <w:rPr>
          <w:i/>
          <w:iCs/>
        </w:rPr>
        <w:t>conduct an audit and recount of ballot boxes for the Presidential election in polling stations nationwide for which the preliminary results indicate either (i) that the total number of votes cast in a polling station for the Presidential election is equal to or greater than 600, which represents  a 100 percent turnout based on the IEC’s pre-poll estimate of likely voters in that location or (ii) that any one Presidential candidate received 95 or greater of the total valid votes cast in a polling station; provided that the total number of votes cast in the polling station exceeds 100. Such audits must be conducted in the presence of observers, agents, and representatives of the ECC</w:t>
      </w:r>
      <w:r w:rsidRPr="00F64619">
        <w:t>.</w:t>
      </w:r>
      <w:r w:rsidR="00040679">
        <w:t>”</w:t>
      </w:r>
      <w:r w:rsidRPr="00F64619">
        <w:t xml:space="preserve"> </w:t>
      </w:r>
    </w:p>
    <w:p w:rsidR="001A458C" w:rsidRPr="00F64619" w:rsidRDefault="00DD012A" w:rsidP="00DA05CA">
      <w:pPr>
        <w:pStyle w:val="ListParagraph"/>
        <w:ind w:left="0"/>
        <w:jc w:val="both"/>
      </w:pPr>
      <w:r>
        <w:t>The IEC and ECC agree</w:t>
      </w:r>
      <w:r w:rsidR="009006CD">
        <w:t>d</w:t>
      </w:r>
      <w:r>
        <w:t xml:space="preserve">, in the interests of </w:t>
      </w:r>
      <w:r w:rsidR="009006CD">
        <w:t xml:space="preserve">quality control of the audit and the need to reach a </w:t>
      </w:r>
      <w:r w:rsidR="00592375">
        <w:t xml:space="preserve">timely </w:t>
      </w:r>
      <w:r w:rsidR="009006CD">
        <w:t>conclusion to the process, to conduct the audit and recount through a random sample of the ballot boxes that fall under the criteria of the Order.</w:t>
      </w:r>
    </w:p>
    <w:p w:rsidR="000023DF" w:rsidRPr="00F17E15" w:rsidRDefault="00921386" w:rsidP="00D933A4">
      <w:pPr>
        <w:spacing w:after="40"/>
        <w:rPr>
          <w:b/>
          <w:bCs/>
          <w:u w:val="single"/>
        </w:rPr>
      </w:pPr>
      <w:r w:rsidRPr="00F17E15">
        <w:rPr>
          <w:b/>
          <w:bCs/>
          <w:u w:val="single"/>
        </w:rPr>
        <w:t>S</w:t>
      </w:r>
      <w:r w:rsidR="000023DF" w:rsidRPr="00F17E15">
        <w:rPr>
          <w:b/>
          <w:bCs/>
          <w:u w:val="single"/>
        </w:rPr>
        <w:t>ample concept</w:t>
      </w:r>
      <w:r w:rsidR="00BB04D6" w:rsidRPr="00F17E15">
        <w:rPr>
          <w:b/>
          <w:bCs/>
          <w:u w:val="single"/>
        </w:rPr>
        <w:t xml:space="preserve"> and selection</w:t>
      </w:r>
    </w:p>
    <w:p w:rsidR="00921386" w:rsidRDefault="00921386" w:rsidP="0072745E">
      <w:pPr>
        <w:spacing w:after="40"/>
        <w:jc w:val="both"/>
      </w:pPr>
      <w:r>
        <w:t>The specific complaint being examined is that of ballot</w:t>
      </w:r>
      <w:r w:rsidR="008D7A7C">
        <w:t xml:space="preserve"> stuffing</w:t>
      </w:r>
      <w:r w:rsidR="0072745E">
        <w:t xml:space="preserve">.  </w:t>
      </w:r>
      <w:r>
        <w:t xml:space="preserve">Polling station results are represented by ballots contained in ballot boxes. </w:t>
      </w:r>
      <w:r w:rsidR="00AB4B4E">
        <w:t>I</w:t>
      </w:r>
      <w:r>
        <w:t>n terms of sampling</w:t>
      </w:r>
      <w:r w:rsidR="00DB49B0">
        <w:t>,</w:t>
      </w:r>
      <w:r>
        <w:t xml:space="preserve"> the unit for the sample i</w:t>
      </w:r>
      <w:r w:rsidR="00AB4B4E">
        <w:t>s one vote or ballot and the sample size is based on an estimated number of ballots contained in the ballot boxes. However, because ballot boxes would have been stuffed</w:t>
      </w:r>
      <w:r w:rsidR="004F14BC">
        <w:t xml:space="preserve"> </w:t>
      </w:r>
      <w:r w:rsidR="00AB4B4E">
        <w:t>as an entity, ballot boxes are randomly sampled rather than ballot</w:t>
      </w:r>
      <w:r w:rsidR="0021494C">
        <w:t>s</w:t>
      </w:r>
      <w:r w:rsidR="00AB4B4E">
        <w:t xml:space="preserve"> within ballot boxes. </w:t>
      </w:r>
    </w:p>
    <w:p w:rsidR="00921386" w:rsidRDefault="00921386" w:rsidP="0021494C">
      <w:pPr>
        <w:spacing w:after="100"/>
        <w:jc w:val="both"/>
      </w:pPr>
      <w:r w:rsidRPr="00C3421A">
        <w:t xml:space="preserve">In statistical sampling, </w:t>
      </w:r>
      <w:r w:rsidRPr="0036193D">
        <w:t>a population of observations larger than 100,000 is considered infinite</w:t>
      </w:r>
      <w:r w:rsidRPr="00C3421A">
        <w:t xml:space="preserve"> and its margin of statistical error negligible.</w:t>
      </w:r>
      <w:r>
        <w:t xml:space="preserve"> Thus</w:t>
      </w:r>
      <w:r w:rsidR="00AB4B4E" w:rsidRPr="00C3421A">
        <w:t>, a sample of more than 100,000 papers should be more than enough to draw technically reliable and politically accurate conclusions.</w:t>
      </w:r>
      <w:r w:rsidR="00AB4B4E">
        <w:t xml:space="preserve"> </w:t>
      </w:r>
    </w:p>
    <w:p w:rsidR="0021494C" w:rsidRDefault="0021494C" w:rsidP="0021494C">
      <w:pPr>
        <w:jc w:val="both"/>
      </w:pPr>
      <w:r>
        <w:t>Three d</w:t>
      </w:r>
      <w:r w:rsidR="00AB4B4E">
        <w:t xml:space="preserve">ifferent categories were identified to represent </w:t>
      </w:r>
      <w:r>
        <w:t xml:space="preserve">the </w:t>
      </w:r>
      <w:r w:rsidR="00AB4B4E">
        <w:t xml:space="preserve">different </w:t>
      </w:r>
      <w:r>
        <w:t>criteria in the ECC order, the third category being where a polling station would correspond to both criteria. L</w:t>
      </w:r>
      <w:r w:rsidR="00AB4B4E">
        <w:t>ists of the polling stations in each identified category were drawn up</w:t>
      </w:r>
      <w:r w:rsidR="00A23190">
        <w:t xml:space="preserve">. The random selection of </w:t>
      </w:r>
      <w:r w:rsidR="00075930">
        <w:t xml:space="preserve">the </w:t>
      </w:r>
      <w:r w:rsidR="00A23190">
        <w:t xml:space="preserve">ballot boxes to be recalled from the provincial warehouses was conducted in the presence of the ECC, observers and candidate agents. </w:t>
      </w:r>
      <w:r>
        <w:t xml:space="preserve">The full list of universes and samples are available on the IEC website – </w:t>
      </w:r>
      <w:hyperlink r:id="rId9" w:history="1">
        <w:r w:rsidRPr="002F27A7">
          <w:rPr>
            <w:rStyle w:val="Hyperlink"/>
          </w:rPr>
          <w:t>http://www.iec.org.af/Content.asp?sect=4&amp;page=audit</w:t>
        </w:r>
      </w:hyperlink>
    </w:p>
    <w:p w:rsidR="000023DF" w:rsidRPr="00E146DF" w:rsidRDefault="000023DF" w:rsidP="0021494C">
      <w:pPr>
        <w:spacing w:after="100"/>
        <w:jc w:val="both"/>
      </w:pPr>
      <w:r w:rsidRPr="00E146DF">
        <w:t xml:space="preserve">Using the </w:t>
      </w:r>
      <w:r w:rsidR="0021494C">
        <w:t>results</w:t>
      </w:r>
      <w:r w:rsidRPr="00E146DF">
        <w:t xml:space="preserve"> database the IEC first identified 3063 polling stations that met the criteria established</w:t>
      </w:r>
      <w:r w:rsidR="00627FF3">
        <w:t>.</w:t>
      </w:r>
      <w:r w:rsidRPr="00E146DF">
        <w:t xml:space="preserve"> Random samples were selected for </w:t>
      </w:r>
      <w:r w:rsidR="00627FF3">
        <w:t xml:space="preserve">the </w:t>
      </w:r>
      <w:r w:rsidRPr="00E146DF">
        <w:t xml:space="preserve">three distinct groups of polling stations, totaling 313. </w:t>
      </w:r>
    </w:p>
    <w:p w:rsidR="00D933A4" w:rsidRPr="00E146DF" w:rsidRDefault="000023DF" w:rsidP="00BB04D6">
      <w:pPr>
        <w:jc w:val="both"/>
      </w:pPr>
      <w:r w:rsidRPr="00E146DF">
        <w:t>However, it soon became apparent that there had been a</w:t>
      </w:r>
      <w:r w:rsidR="00BB04D6">
        <w:t xml:space="preserve">n administrative error in the identification stations meeting the criteria laid out by the </w:t>
      </w:r>
      <w:r w:rsidRPr="00E146DF">
        <w:t xml:space="preserve"> ECC Order</w:t>
      </w:r>
      <w:r w:rsidR="00BB04D6">
        <w:t xml:space="preserve"> </w:t>
      </w:r>
      <w:r w:rsidRPr="00E146DF">
        <w:t>with the result that the initial universe</w:t>
      </w:r>
      <w:r w:rsidR="00627FF3">
        <w:t>s (a statistical term meaning the total number in the criteria that the sample is selected from)</w:t>
      </w:r>
      <w:r w:rsidRPr="00E146DF">
        <w:t xml:space="preserve"> and samples were selected in a way that did not include all polling stations covered by the Order.</w:t>
      </w:r>
      <w:r w:rsidR="00BB04D6">
        <w:t xml:space="preserve"> In addition q</w:t>
      </w:r>
      <w:r w:rsidR="00642A55">
        <w:t xml:space="preserve">uarantined results had also been included in the original sample, since these were also in the database. </w:t>
      </w:r>
      <w:r w:rsidR="00BB04D6">
        <w:t xml:space="preserve"> The</w:t>
      </w:r>
      <w:r w:rsidR="00642A55">
        <w:t xml:space="preserve"> </w:t>
      </w:r>
      <w:r w:rsidR="00BB04D6">
        <w:t>O</w:t>
      </w:r>
      <w:r w:rsidR="00642A55">
        <w:t>rder applie</w:t>
      </w:r>
      <w:r w:rsidR="00BB04D6">
        <w:t>s</w:t>
      </w:r>
      <w:r w:rsidR="00642A55">
        <w:t xml:space="preserve"> to the preliminary results</w:t>
      </w:r>
      <w:r w:rsidR="00BB04D6">
        <w:t xml:space="preserve"> therefore</w:t>
      </w:r>
      <w:r w:rsidR="00642A55">
        <w:t xml:space="preserve"> </w:t>
      </w:r>
      <w:r w:rsidR="00BB04D6">
        <w:t>quarantined stations needed to be</w:t>
      </w:r>
      <w:r w:rsidR="00642A55">
        <w:t xml:space="preserve"> removed from </w:t>
      </w:r>
      <w:r w:rsidR="00642A55">
        <w:lastRenderedPageBreak/>
        <w:t>the sample.</w:t>
      </w:r>
      <w:r w:rsidR="0021494C">
        <w:t xml:space="preserve"> </w:t>
      </w:r>
      <w:r w:rsidR="0021494C">
        <w:rPr>
          <w:iCs/>
        </w:rPr>
        <w:t>This was done</w:t>
      </w:r>
      <w:r w:rsidR="0021494C" w:rsidRPr="0021494C">
        <w:rPr>
          <w:iCs/>
        </w:rPr>
        <w:t xml:space="preserve"> in the presence of ECC members, observers and candidate agents on 5 October.</w:t>
      </w:r>
    </w:p>
    <w:p w:rsidR="00231A16" w:rsidRDefault="000023DF" w:rsidP="00627FF3">
      <w:pPr>
        <w:pStyle w:val="ListParagraph"/>
        <w:spacing w:after="40" w:line="360" w:lineRule="auto"/>
        <w:ind w:left="0"/>
        <w:rPr>
          <w:b/>
          <w:iCs/>
        </w:rPr>
      </w:pPr>
      <w:r w:rsidRPr="00BB04D6">
        <w:rPr>
          <w:b/>
          <w:iCs/>
        </w:rPr>
        <w:t>Number of polling stations in original universe and sample</w:t>
      </w:r>
    </w:p>
    <w:tbl>
      <w:tblPr>
        <w:tblStyle w:val="TableGrid"/>
        <w:tblW w:w="10980" w:type="dxa"/>
        <w:tblInd w:w="-702" w:type="dxa"/>
        <w:tblLayout w:type="fixed"/>
        <w:tblLook w:val="04A0"/>
      </w:tblPr>
      <w:tblGrid>
        <w:gridCol w:w="810"/>
        <w:gridCol w:w="3330"/>
        <w:gridCol w:w="1170"/>
        <w:gridCol w:w="1170"/>
        <w:gridCol w:w="990"/>
        <w:gridCol w:w="1170"/>
        <w:gridCol w:w="1080"/>
        <w:gridCol w:w="1260"/>
      </w:tblGrid>
      <w:tr w:rsidR="00231A16" w:rsidRPr="00D84E6C" w:rsidTr="00A85124">
        <w:tc>
          <w:tcPr>
            <w:tcW w:w="810" w:type="dxa"/>
          </w:tcPr>
          <w:p w:rsidR="00231A16" w:rsidRPr="00D84E6C" w:rsidRDefault="00231A16" w:rsidP="00627FF3">
            <w:pPr>
              <w:spacing w:after="0"/>
              <w:rPr>
                <w:b/>
              </w:rPr>
            </w:pPr>
            <w:r w:rsidRPr="00D84E6C">
              <w:rPr>
                <w:b/>
              </w:rPr>
              <w:t>Category</w:t>
            </w:r>
          </w:p>
        </w:tc>
        <w:tc>
          <w:tcPr>
            <w:tcW w:w="3330" w:type="dxa"/>
          </w:tcPr>
          <w:p w:rsidR="00231A16" w:rsidRPr="00D84E6C" w:rsidRDefault="00231A16" w:rsidP="00627FF3">
            <w:pPr>
              <w:spacing w:after="0"/>
              <w:rPr>
                <w:b/>
              </w:rPr>
            </w:pPr>
            <w:r w:rsidRPr="00D84E6C">
              <w:rPr>
                <w:b/>
              </w:rPr>
              <w:t>Definition</w:t>
            </w:r>
          </w:p>
        </w:tc>
        <w:tc>
          <w:tcPr>
            <w:tcW w:w="1170" w:type="dxa"/>
          </w:tcPr>
          <w:p w:rsidR="00231A16" w:rsidRPr="00D84E6C" w:rsidRDefault="00231A16" w:rsidP="00627FF3">
            <w:pPr>
              <w:spacing w:after="0"/>
              <w:rPr>
                <w:b/>
              </w:rPr>
            </w:pPr>
            <w:r w:rsidRPr="00D84E6C">
              <w:rPr>
                <w:b/>
              </w:rPr>
              <w:t xml:space="preserve">Original </w:t>
            </w:r>
            <w:r>
              <w:rPr>
                <w:b/>
              </w:rPr>
              <w:t>P</w:t>
            </w:r>
            <w:r w:rsidRPr="00D84E6C">
              <w:rPr>
                <w:b/>
              </w:rPr>
              <w:t xml:space="preserve">olling </w:t>
            </w:r>
            <w:r>
              <w:rPr>
                <w:b/>
              </w:rPr>
              <w:t>S</w:t>
            </w:r>
            <w:r w:rsidRPr="00D84E6C">
              <w:rPr>
                <w:b/>
              </w:rPr>
              <w:t>tation</w:t>
            </w:r>
            <w:r>
              <w:rPr>
                <w:b/>
              </w:rPr>
              <w:t xml:space="preserve"> Universe</w:t>
            </w:r>
          </w:p>
        </w:tc>
        <w:tc>
          <w:tcPr>
            <w:tcW w:w="1170" w:type="dxa"/>
          </w:tcPr>
          <w:p w:rsidR="00231A16" w:rsidRPr="00D84E6C" w:rsidRDefault="00231A16" w:rsidP="00627FF3">
            <w:pPr>
              <w:spacing w:after="0"/>
              <w:rPr>
                <w:b/>
              </w:rPr>
            </w:pPr>
            <w:r>
              <w:rPr>
                <w:b/>
              </w:rPr>
              <w:t xml:space="preserve">#  Polling </w:t>
            </w:r>
            <w:r w:rsidRPr="00D84E6C">
              <w:rPr>
                <w:b/>
              </w:rPr>
              <w:t>Stations in sample</w:t>
            </w:r>
          </w:p>
        </w:tc>
        <w:tc>
          <w:tcPr>
            <w:tcW w:w="990" w:type="dxa"/>
          </w:tcPr>
          <w:p w:rsidR="00231A16" w:rsidRPr="00D84E6C" w:rsidRDefault="00231A16" w:rsidP="00627FF3">
            <w:pPr>
              <w:spacing w:after="0"/>
              <w:rPr>
                <w:b/>
              </w:rPr>
            </w:pPr>
            <w:r w:rsidRPr="00D84E6C">
              <w:rPr>
                <w:b/>
              </w:rPr>
              <w:t>Total Quarantined stations</w:t>
            </w:r>
          </w:p>
        </w:tc>
        <w:tc>
          <w:tcPr>
            <w:tcW w:w="1170" w:type="dxa"/>
          </w:tcPr>
          <w:p w:rsidR="00231A16" w:rsidRPr="00D84E6C" w:rsidRDefault="00231A16" w:rsidP="00627FF3">
            <w:pPr>
              <w:spacing w:after="0"/>
              <w:rPr>
                <w:b/>
              </w:rPr>
            </w:pPr>
            <w:r w:rsidRPr="00CF6AE9">
              <w:rPr>
                <w:b/>
              </w:rPr>
              <w:t>Quarantined Stations in sample</w:t>
            </w:r>
          </w:p>
        </w:tc>
        <w:tc>
          <w:tcPr>
            <w:tcW w:w="1080" w:type="dxa"/>
          </w:tcPr>
          <w:p w:rsidR="00231A16" w:rsidRPr="00D84E6C" w:rsidRDefault="00231A16" w:rsidP="00627FF3">
            <w:pPr>
              <w:spacing w:after="0"/>
              <w:rPr>
                <w:b/>
              </w:rPr>
            </w:pPr>
            <w:r w:rsidRPr="00D84E6C">
              <w:rPr>
                <w:b/>
              </w:rPr>
              <w:t xml:space="preserve">Final </w:t>
            </w:r>
            <w:r>
              <w:rPr>
                <w:b/>
              </w:rPr>
              <w:t>P</w:t>
            </w:r>
            <w:r w:rsidRPr="00D84E6C">
              <w:rPr>
                <w:b/>
              </w:rPr>
              <w:t xml:space="preserve">olling </w:t>
            </w:r>
            <w:r>
              <w:rPr>
                <w:b/>
              </w:rPr>
              <w:t>S</w:t>
            </w:r>
            <w:r w:rsidRPr="00D84E6C">
              <w:rPr>
                <w:b/>
              </w:rPr>
              <w:t xml:space="preserve">tation </w:t>
            </w:r>
            <w:r>
              <w:rPr>
                <w:b/>
              </w:rPr>
              <w:t>U</w:t>
            </w:r>
            <w:r w:rsidRPr="00D84E6C">
              <w:rPr>
                <w:b/>
              </w:rPr>
              <w:t>niverse</w:t>
            </w:r>
          </w:p>
        </w:tc>
        <w:tc>
          <w:tcPr>
            <w:tcW w:w="1260" w:type="dxa"/>
          </w:tcPr>
          <w:p w:rsidR="00231A16" w:rsidRPr="00D84E6C" w:rsidRDefault="00231A16" w:rsidP="00627FF3">
            <w:pPr>
              <w:spacing w:after="0"/>
              <w:rPr>
                <w:b/>
              </w:rPr>
            </w:pPr>
            <w:r w:rsidRPr="00D84E6C">
              <w:rPr>
                <w:b/>
              </w:rPr>
              <w:t xml:space="preserve">Final </w:t>
            </w:r>
            <w:r>
              <w:rPr>
                <w:b/>
              </w:rPr>
              <w:t># P</w:t>
            </w:r>
            <w:r w:rsidRPr="00D84E6C">
              <w:rPr>
                <w:b/>
              </w:rPr>
              <w:t xml:space="preserve">olling </w:t>
            </w:r>
            <w:r>
              <w:rPr>
                <w:b/>
              </w:rPr>
              <w:t>S</w:t>
            </w:r>
            <w:r w:rsidRPr="00D84E6C">
              <w:rPr>
                <w:b/>
              </w:rPr>
              <w:t xml:space="preserve">tations in </w:t>
            </w:r>
            <w:r>
              <w:rPr>
                <w:b/>
              </w:rPr>
              <w:t>S</w:t>
            </w:r>
            <w:r w:rsidRPr="00D84E6C">
              <w:rPr>
                <w:b/>
              </w:rPr>
              <w:t>ample</w:t>
            </w:r>
          </w:p>
        </w:tc>
      </w:tr>
      <w:tr w:rsidR="00231A16" w:rsidTr="00A85124">
        <w:tc>
          <w:tcPr>
            <w:tcW w:w="810" w:type="dxa"/>
          </w:tcPr>
          <w:p w:rsidR="00231A16" w:rsidRDefault="00231A16" w:rsidP="00627FF3">
            <w:pPr>
              <w:spacing w:after="0"/>
            </w:pPr>
            <w:r>
              <w:t>A1</w:t>
            </w:r>
          </w:p>
        </w:tc>
        <w:tc>
          <w:tcPr>
            <w:tcW w:w="3330" w:type="dxa"/>
          </w:tcPr>
          <w:p w:rsidR="00231A16" w:rsidRDefault="00231A16" w:rsidP="00627FF3">
            <w:pPr>
              <w:spacing w:after="0"/>
            </w:pPr>
            <w:r>
              <w:rPr>
                <w:rFonts w:ascii="TTFF4BC380t00" w:hAnsi="TTFF4BC380t00" w:cs="TTFF4BC380t00"/>
                <w:sz w:val="20"/>
                <w:szCs w:val="20"/>
              </w:rPr>
              <w:t>Polling stations in which 600 or more valid votes were cast</w:t>
            </w:r>
          </w:p>
        </w:tc>
        <w:tc>
          <w:tcPr>
            <w:tcW w:w="1170" w:type="dxa"/>
          </w:tcPr>
          <w:p w:rsidR="00231A16" w:rsidRDefault="00231A16" w:rsidP="00627FF3">
            <w:pPr>
              <w:spacing w:after="0"/>
            </w:pPr>
            <w:r>
              <w:t>627</w:t>
            </w:r>
          </w:p>
        </w:tc>
        <w:tc>
          <w:tcPr>
            <w:tcW w:w="1170" w:type="dxa"/>
          </w:tcPr>
          <w:p w:rsidR="00231A16" w:rsidRDefault="00231A16" w:rsidP="00627FF3">
            <w:pPr>
              <w:spacing w:after="0"/>
            </w:pPr>
            <w:r>
              <w:t>63</w:t>
            </w:r>
          </w:p>
        </w:tc>
        <w:tc>
          <w:tcPr>
            <w:tcW w:w="990" w:type="dxa"/>
          </w:tcPr>
          <w:p w:rsidR="00231A16" w:rsidRPr="00CF6AE9" w:rsidRDefault="00231A16" w:rsidP="00627FF3">
            <w:pPr>
              <w:spacing w:after="0"/>
            </w:pPr>
            <w:r w:rsidRPr="00CF6AE9">
              <w:t>82</w:t>
            </w:r>
          </w:p>
        </w:tc>
        <w:tc>
          <w:tcPr>
            <w:tcW w:w="1170" w:type="dxa"/>
          </w:tcPr>
          <w:p w:rsidR="00231A16" w:rsidRDefault="00231A16" w:rsidP="00627FF3">
            <w:pPr>
              <w:spacing w:after="0"/>
            </w:pPr>
            <w:r>
              <w:t>8</w:t>
            </w:r>
          </w:p>
        </w:tc>
        <w:tc>
          <w:tcPr>
            <w:tcW w:w="1080" w:type="dxa"/>
          </w:tcPr>
          <w:p w:rsidR="00231A16" w:rsidRDefault="00231A16" w:rsidP="00627FF3">
            <w:pPr>
              <w:spacing w:after="0"/>
            </w:pPr>
            <w:r>
              <w:t>545</w:t>
            </w:r>
          </w:p>
        </w:tc>
        <w:tc>
          <w:tcPr>
            <w:tcW w:w="1260" w:type="dxa"/>
          </w:tcPr>
          <w:p w:rsidR="00231A16" w:rsidRDefault="00231A16" w:rsidP="00627FF3">
            <w:pPr>
              <w:spacing w:after="0"/>
            </w:pPr>
            <w:r>
              <w:t>55</w:t>
            </w:r>
          </w:p>
        </w:tc>
      </w:tr>
      <w:tr w:rsidR="00231A16" w:rsidTr="00A85124">
        <w:tc>
          <w:tcPr>
            <w:tcW w:w="810" w:type="dxa"/>
          </w:tcPr>
          <w:p w:rsidR="00231A16" w:rsidRDefault="00231A16" w:rsidP="00627FF3">
            <w:pPr>
              <w:spacing w:after="0"/>
            </w:pPr>
            <w:r>
              <w:t>B1</w:t>
            </w:r>
          </w:p>
        </w:tc>
        <w:tc>
          <w:tcPr>
            <w:tcW w:w="3330" w:type="dxa"/>
          </w:tcPr>
          <w:p w:rsidR="00231A16" w:rsidRPr="004E2DCC" w:rsidRDefault="00231A16" w:rsidP="00627FF3">
            <w:pPr>
              <w:autoSpaceDE w:val="0"/>
              <w:autoSpaceDN w:val="0"/>
              <w:adjustRightInd w:val="0"/>
              <w:spacing w:after="0"/>
              <w:rPr>
                <w:rFonts w:ascii="TTFF4BC380t00" w:hAnsi="TTFF4BC380t00" w:cs="TTFF4BC380t00"/>
                <w:sz w:val="20"/>
                <w:szCs w:val="20"/>
              </w:rPr>
            </w:pPr>
            <w:r>
              <w:rPr>
                <w:rFonts w:ascii="TTFF4BC380t00" w:hAnsi="TTFF4BC380t00" w:cs="TTFF4BC380t00"/>
                <w:sz w:val="20"/>
                <w:szCs w:val="20"/>
              </w:rPr>
              <w:t>Polling stations with more than 100 votes in which one candidate</w:t>
            </w:r>
            <w:r w:rsidR="004E2DCC">
              <w:rPr>
                <w:rFonts w:ascii="TTFF4BC380t00" w:hAnsi="TTFF4BC380t00" w:cs="TTFF4BC380t00"/>
                <w:sz w:val="20"/>
                <w:szCs w:val="20"/>
              </w:rPr>
              <w:t xml:space="preserve"> </w:t>
            </w:r>
            <w:r>
              <w:rPr>
                <w:rFonts w:ascii="TTFF4BC380t00" w:hAnsi="TTFF4BC380t00" w:cs="TTFF4BC380t00"/>
                <w:sz w:val="20"/>
                <w:szCs w:val="20"/>
              </w:rPr>
              <w:t>received 95 percent or more of the total votes cast</w:t>
            </w:r>
          </w:p>
        </w:tc>
        <w:tc>
          <w:tcPr>
            <w:tcW w:w="1170" w:type="dxa"/>
          </w:tcPr>
          <w:p w:rsidR="00231A16" w:rsidRDefault="00231A16" w:rsidP="00627FF3">
            <w:pPr>
              <w:spacing w:after="0"/>
            </w:pPr>
            <w:r>
              <w:t>1522</w:t>
            </w:r>
          </w:p>
        </w:tc>
        <w:tc>
          <w:tcPr>
            <w:tcW w:w="1170" w:type="dxa"/>
          </w:tcPr>
          <w:p w:rsidR="00231A16" w:rsidRDefault="00231A16" w:rsidP="00627FF3">
            <w:pPr>
              <w:spacing w:after="0"/>
            </w:pPr>
            <w:r>
              <w:t>150</w:t>
            </w:r>
          </w:p>
        </w:tc>
        <w:tc>
          <w:tcPr>
            <w:tcW w:w="990" w:type="dxa"/>
          </w:tcPr>
          <w:p w:rsidR="00231A16" w:rsidRPr="00CF6AE9" w:rsidRDefault="00231A16" w:rsidP="00627FF3">
            <w:pPr>
              <w:spacing w:after="0"/>
            </w:pPr>
            <w:r w:rsidRPr="00CF6AE9">
              <w:t>131</w:t>
            </w:r>
          </w:p>
        </w:tc>
        <w:tc>
          <w:tcPr>
            <w:tcW w:w="1170" w:type="dxa"/>
          </w:tcPr>
          <w:p w:rsidR="00231A16" w:rsidRDefault="00231A16" w:rsidP="00627FF3">
            <w:pPr>
              <w:spacing w:after="0"/>
            </w:pPr>
            <w:r>
              <w:t>13</w:t>
            </w:r>
          </w:p>
        </w:tc>
        <w:tc>
          <w:tcPr>
            <w:tcW w:w="1080" w:type="dxa"/>
          </w:tcPr>
          <w:p w:rsidR="00231A16" w:rsidRDefault="00231A16" w:rsidP="00627FF3">
            <w:pPr>
              <w:spacing w:after="0"/>
            </w:pPr>
            <w:r>
              <w:t>1391 -121</w:t>
            </w:r>
            <w:r>
              <w:rPr>
                <w:rStyle w:val="FootnoteReference"/>
              </w:rPr>
              <w:footnoteReference w:id="1"/>
            </w:r>
            <w:r>
              <w:t xml:space="preserve">= </w:t>
            </w:r>
            <w:r w:rsidRPr="001D7150">
              <w:rPr>
                <w:b/>
              </w:rPr>
              <w:t>1270</w:t>
            </w:r>
          </w:p>
        </w:tc>
        <w:tc>
          <w:tcPr>
            <w:tcW w:w="1260" w:type="dxa"/>
          </w:tcPr>
          <w:p w:rsidR="00231A16" w:rsidRDefault="00231A16" w:rsidP="00627FF3">
            <w:pPr>
              <w:spacing w:after="0"/>
            </w:pPr>
            <w:r>
              <w:t xml:space="preserve">137 – 13 = </w:t>
            </w:r>
            <w:r w:rsidRPr="001D7150">
              <w:rPr>
                <w:b/>
              </w:rPr>
              <w:t>124</w:t>
            </w:r>
          </w:p>
        </w:tc>
      </w:tr>
      <w:tr w:rsidR="00231A16" w:rsidTr="00A85124">
        <w:tc>
          <w:tcPr>
            <w:tcW w:w="810" w:type="dxa"/>
          </w:tcPr>
          <w:p w:rsidR="00231A16" w:rsidRDefault="00231A16" w:rsidP="00627FF3">
            <w:pPr>
              <w:spacing w:after="0"/>
            </w:pPr>
            <w:r>
              <w:t>C1</w:t>
            </w:r>
          </w:p>
        </w:tc>
        <w:tc>
          <w:tcPr>
            <w:tcW w:w="3330" w:type="dxa"/>
          </w:tcPr>
          <w:p w:rsidR="00231A16" w:rsidRPr="001034A4" w:rsidRDefault="00231A16" w:rsidP="00627FF3">
            <w:pPr>
              <w:autoSpaceDE w:val="0"/>
              <w:autoSpaceDN w:val="0"/>
              <w:adjustRightInd w:val="0"/>
              <w:spacing w:after="0"/>
              <w:rPr>
                <w:rFonts w:ascii="TTFF4BC380t00" w:hAnsi="TTFF4BC380t00" w:cs="TTFF4BC380t00"/>
                <w:sz w:val="20"/>
                <w:szCs w:val="20"/>
              </w:rPr>
            </w:pPr>
            <w:r>
              <w:rPr>
                <w:rFonts w:ascii="TTFF4BC380t00" w:hAnsi="TTFF4BC380t00" w:cs="TTFF4BC380t00"/>
                <w:sz w:val="20"/>
                <w:szCs w:val="20"/>
              </w:rPr>
              <w:t>Polling stations in which 600 or more valid votes were cast AND in which one candidate received 95% or more of the total votes cast</w:t>
            </w:r>
          </w:p>
        </w:tc>
        <w:tc>
          <w:tcPr>
            <w:tcW w:w="1170" w:type="dxa"/>
          </w:tcPr>
          <w:p w:rsidR="00231A16" w:rsidRDefault="00231A16" w:rsidP="00627FF3">
            <w:pPr>
              <w:spacing w:after="0"/>
            </w:pPr>
            <w:r>
              <w:t>914</w:t>
            </w:r>
          </w:p>
        </w:tc>
        <w:tc>
          <w:tcPr>
            <w:tcW w:w="1170" w:type="dxa"/>
          </w:tcPr>
          <w:p w:rsidR="00231A16" w:rsidRDefault="00231A16" w:rsidP="00627FF3">
            <w:pPr>
              <w:spacing w:after="0"/>
            </w:pPr>
            <w:r>
              <w:t>100</w:t>
            </w:r>
          </w:p>
        </w:tc>
        <w:tc>
          <w:tcPr>
            <w:tcW w:w="990" w:type="dxa"/>
          </w:tcPr>
          <w:p w:rsidR="00231A16" w:rsidRPr="00CF6AE9" w:rsidRDefault="00231A16" w:rsidP="00627FF3">
            <w:pPr>
              <w:spacing w:after="0"/>
            </w:pPr>
            <w:r w:rsidRPr="00CF6AE9">
              <w:t>173</w:t>
            </w:r>
          </w:p>
        </w:tc>
        <w:tc>
          <w:tcPr>
            <w:tcW w:w="1170" w:type="dxa"/>
          </w:tcPr>
          <w:p w:rsidR="00231A16" w:rsidRDefault="00231A16" w:rsidP="00627FF3">
            <w:pPr>
              <w:spacing w:after="0"/>
            </w:pPr>
            <w:r>
              <w:t>18</w:t>
            </w:r>
          </w:p>
        </w:tc>
        <w:tc>
          <w:tcPr>
            <w:tcW w:w="1080" w:type="dxa"/>
          </w:tcPr>
          <w:p w:rsidR="00231A16" w:rsidRDefault="00231A16" w:rsidP="00627FF3">
            <w:pPr>
              <w:spacing w:after="0"/>
            </w:pPr>
            <w:r>
              <w:t>741</w:t>
            </w:r>
          </w:p>
        </w:tc>
        <w:tc>
          <w:tcPr>
            <w:tcW w:w="1260" w:type="dxa"/>
          </w:tcPr>
          <w:p w:rsidR="00231A16" w:rsidRDefault="00231A16" w:rsidP="00627FF3">
            <w:pPr>
              <w:spacing w:after="0"/>
            </w:pPr>
            <w:r>
              <w:t>82</w:t>
            </w:r>
          </w:p>
        </w:tc>
      </w:tr>
      <w:tr w:rsidR="00231A16" w:rsidRPr="00D84E6C" w:rsidTr="00A85124">
        <w:tc>
          <w:tcPr>
            <w:tcW w:w="810" w:type="dxa"/>
          </w:tcPr>
          <w:p w:rsidR="00231A16" w:rsidRDefault="00231A16" w:rsidP="00627FF3">
            <w:pPr>
              <w:spacing w:after="0"/>
            </w:pPr>
          </w:p>
        </w:tc>
        <w:tc>
          <w:tcPr>
            <w:tcW w:w="3330" w:type="dxa"/>
          </w:tcPr>
          <w:p w:rsidR="00231A16" w:rsidRPr="00D84E6C" w:rsidRDefault="00231A16" w:rsidP="00627FF3">
            <w:pPr>
              <w:autoSpaceDE w:val="0"/>
              <w:autoSpaceDN w:val="0"/>
              <w:adjustRightInd w:val="0"/>
              <w:spacing w:after="0"/>
              <w:rPr>
                <w:rFonts w:ascii="TTFF4BC380t00" w:hAnsi="TTFF4BC380t00" w:cs="TTFF4BC380t00"/>
                <w:b/>
                <w:sz w:val="20"/>
                <w:szCs w:val="20"/>
              </w:rPr>
            </w:pPr>
            <w:r w:rsidRPr="00D84E6C">
              <w:rPr>
                <w:rFonts w:ascii="TTFF4BC380t00" w:hAnsi="TTFF4BC380t00" w:cs="TTFF4BC380t00"/>
                <w:b/>
                <w:sz w:val="20"/>
                <w:szCs w:val="20"/>
              </w:rPr>
              <w:t>Total number of polling stations in initial universe and sample</w:t>
            </w:r>
          </w:p>
        </w:tc>
        <w:tc>
          <w:tcPr>
            <w:tcW w:w="1170" w:type="dxa"/>
          </w:tcPr>
          <w:p w:rsidR="00231A16" w:rsidRPr="00D84E6C" w:rsidRDefault="00231A16" w:rsidP="00627FF3">
            <w:pPr>
              <w:spacing w:after="0"/>
              <w:rPr>
                <w:b/>
              </w:rPr>
            </w:pPr>
            <w:r w:rsidRPr="00D84E6C">
              <w:rPr>
                <w:b/>
              </w:rPr>
              <w:t>3063</w:t>
            </w:r>
          </w:p>
        </w:tc>
        <w:tc>
          <w:tcPr>
            <w:tcW w:w="1170" w:type="dxa"/>
          </w:tcPr>
          <w:p w:rsidR="00231A16" w:rsidRPr="00D84E6C" w:rsidRDefault="00231A16" w:rsidP="00627FF3">
            <w:pPr>
              <w:spacing w:after="0"/>
              <w:rPr>
                <w:b/>
              </w:rPr>
            </w:pPr>
            <w:r w:rsidRPr="00D84E6C">
              <w:rPr>
                <w:b/>
              </w:rPr>
              <w:t>313</w:t>
            </w:r>
          </w:p>
        </w:tc>
        <w:tc>
          <w:tcPr>
            <w:tcW w:w="990" w:type="dxa"/>
          </w:tcPr>
          <w:p w:rsidR="00231A16" w:rsidRPr="00CF6AE9" w:rsidRDefault="00231A16" w:rsidP="00627FF3">
            <w:pPr>
              <w:spacing w:after="0"/>
              <w:rPr>
                <w:b/>
              </w:rPr>
            </w:pPr>
            <w:r w:rsidRPr="00CF6AE9">
              <w:rPr>
                <w:b/>
              </w:rPr>
              <w:t>386</w:t>
            </w:r>
          </w:p>
        </w:tc>
        <w:tc>
          <w:tcPr>
            <w:tcW w:w="1170" w:type="dxa"/>
          </w:tcPr>
          <w:p w:rsidR="00231A16" w:rsidRPr="00D84E6C" w:rsidRDefault="00231A16" w:rsidP="00627FF3">
            <w:pPr>
              <w:spacing w:after="0"/>
              <w:rPr>
                <w:b/>
              </w:rPr>
            </w:pPr>
            <w:r w:rsidRPr="00D84E6C">
              <w:rPr>
                <w:b/>
              </w:rPr>
              <w:t>39</w:t>
            </w:r>
          </w:p>
        </w:tc>
        <w:tc>
          <w:tcPr>
            <w:tcW w:w="1080" w:type="dxa"/>
          </w:tcPr>
          <w:p w:rsidR="00231A16" w:rsidRPr="00D84E6C" w:rsidRDefault="00231A16" w:rsidP="00627FF3">
            <w:pPr>
              <w:spacing w:after="0"/>
              <w:rPr>
                <w:b/>
              </w:rPr>
            </w:pPr>
            <w:r>
              <w:rPr>
                <w:b/>
              </w:rPr>
              <w:t>2556</w:t>
            </w:r>
          </w:p>
        </w:tc>
        <w:tc>
          <w:tcPr>
            <w:tcW w:w="1260" w:type="dxa"/>
          </w:tcPr>
          <w:p w:rsidR="00231A16" w:rsidRPr="00D84E6C" w:rsidRDefault="00231A16" w:rsidP="00627FF3">
            <w:pPr>
              <w:spacing w:after="0"/>
              <w:rPr>
                <w:b/>
              </w:rPr>
            </w:pPr>
            <w:r>
              <w:rPr>
                <w:b/>
              </w:rPr>
              <w:t>261</w:t>
            </w:r>
          </w:p>
        </w:tc>
      </w:tr>
    </w:tbl>
    <w:p w:rsidR="000023DF" w:rsidRPr="0021494C" w:rsidRDefault="000023DF" w:rsidP="00627FF3">
      <w:pPr>
        <w:spacing w:after="40"/>
        <w:jc w:val="both"/>
        <w:rPr>
          <w:iCs/>
        </w:rPr>
      </w:pPr>
    </w:p>
    <w:p w:rsidR="00642A55" w:rsidRPr="00D949B4" w:rsidRDefault="00642A55" w:rsidP="00627FF3">
      <w:pPr>
        <w:spacing w:after="40"/>
        <w:jc w:val="both"/>
        <w:rPr>
          <w:iCs/>
        </w:rPr>
      </w:pPr>
      <w:r>
        <w:rPr>
          <w:iCs/>
        </w:rPr>
        <w:t xml:space="preserve">In addition the initial sample had been drawn from valid ballots cast rather than total ballots cast for category A1 and for total votes cast rather than total valid votes cast for category B1. </w:t>
      </w:r>
    </w:p>
    <w:p w:rsidR="000023DF" w:rsidRPr="00D949B4" w:rsidRDefault="00880991" w:rsidP="00880991">
      <w:pPr>
        <w:spacing w:after="40"/>
        <w:jc w:val="both"/>
      </w:pPr>
      <w:r>
        <w:t>T</w:t>
      </w:r>
      <w:r w:rsidR="000023DF" w:rsidRPr="00D949B4">
        <w:t>he IEC and ECC agreed that it was not either necessary or desirable to adjust the original sample, since the ballot boxes had already been retrieved to Ka</w:t>
      </w:r>
      <w:r w:rsidR="000023DF">
        <w:t>bul. Therefore an</w:t>
      </w:r>
      <w:r w:rsidR="000023DF" w:rsidRPr="00D949B4">
        <w:t xml:space="preserve"> additional three categories were established as follows:</w:t>
      </w:r>
    </w:p>
    <w:p w:rsidR="000023DF" w:rsidRDefault="000023DF" w:rsidP="004E2DCC">
      <w:pPr>
        <w:spacing w:before="200" w:after="100"/>
        <w:rPr>
          <w:b/>
        </w:rPr>
      </w:pPr>
      <w:r w:rsidRPr="00D949B4">
        <w:rPr>
          <w:b/>
        </w:rPr>
        <w:t>Additional universe and samples</w:t>
      </w:r>
    </w:p>
    <w:tbl>
      <w:tblPr>
        <w:tblStyle w:val="TableGrid"/>
        <w:tblW w:w="9378" w:type="dxa"/>
        <w:tblLayout w:type="fixed"/>
        <w:tblLook w:val="04A0"/>
      </w:tblPr>
      <w:tblGrid>
        <w:gridCol w:w="1098"/>
        <w:gridCol w:w="5490"/>
        <w:gridCol w:w="1440"/>
        <w:gridCol w:w="1350"/>
      </w:tblGrid>
      <w:tr w:rsidR="00231A16" w:rsidRPr="00D84E6C" w:rsidTr="00A85124">
        <w:tc>
          <w:tcPr>
            <w:tcW w:w="1098" w:type="dxa"/>
          </w:tcPr>
          <w:p w:rsidR="00231A16" w:rsidRPr="00D84E6C" w:rsidRDefault="00231A16" w:rsidP="00627FF3">
            <w:pPr>
              <w:spacing w:after="0"/>
              <w:rPr>
                <w:b/>
              </w:rPr>
            </w:pPr>
            <w:r w:rsidRPr="00D84E6C">
              <w:rPr>
                <w:b/>
              </w:rPr>
              <w:t>Category</w:t>
            </w:r>
          </w:p>
        </w:tc>
        <w:tc>
          <w:tcPr>
            <w:tcW w:w="5490" w:type="dxa"/>
          </w:tcPr>
          <w:p w:rsidR="00231A16" w:rsidRPr="00D84E6C" w:rsidRDefault="00231A16" w:rsidP="00627FF3">
            <w:pPr>
              <w:autoSpaceDE w:val="0"/>
              <w:autoSpaceDN w:val="0"/>
              <w:adjustRightInd w:val="0"/>
              <w:spacing w:after="0"/>
              <w:rPr>
                <w:rFonts w:ascii="TTFF4BC380t00" w:hAnsi="TTFF4BC380t00" w:cs="TTFF4BC380t00"/>
                <w:b/>
                <w:sz w:val="20"/>
                <w:szCs w:val="20"/>
              </w:rPr>
            </w:pPr>
            <w:r w:rsidRPr="00D84E6C">
              <w:rPr>
                <w:rFonts w:ascii="TTFF4BC380t00" w:hAnsi="TTFF4BC380t00" w:cs="TTFF4BC380t00"/>
                <w:b/>
                <w:sz w:val="20"/>
                <w:szCs w:val="20"/>
              </w:rPr>
              <w:t>Definition</w:t>
            </w:r>
          </w:p>
        </w:tc>
        <w:tc>
          <w:tcPr>
            <w:tcW w:w="1440" w:type="dxa"/>
          </w:tcPr>
          <w:p w:rsidR="00231A16" w:rsidRPr="00D84E6C" w:rsidRDefault="00231A16" w:rsidP="00627FF3">
            <w:pPr>
              <w:spacing w:after="0"/>
              <w:rPr>
                <w:b/>
              </w:rPr>
            </w:pPr>
            <w:r>
              <w:rPr>
                <w:b/>
              </w:rPr>
              <w:t xml:space="preserve">Universe of  </w:t>
            </w:r>
            <w:r w:rsidRPr="00D84E6C">
              <w:rPr>
                <w:b/>
              </w:rPr>
              <w:t>Polling stations in category</w:t>
            </w:r>
          </w:p>
        </w:tc>
        <w:tc>
          <w:tcPr>
            <w:tcW w:w="1350" w:type="dxa"/>
          </w:tcPr>
          <w:p w:rsidR="00231A16" w:rsidRPr="00D84E6C" w:rsidRDefault="00231A16" w:rsidP="00627FF3">
            <w:pPr>
              <w:spacing w:after="0"/>
              <w:rPr>
                <w:b/>
              </w:rPr>
            </w:pPr>
            <w:r>
              <w:rPr>
                <w:b/>
              </w:rPr>
              <w:t xml:space="preserve"># </w:t>
            </w:r>
            <w:r w:rsidRPr="00D84E6C">
              <w:rPr>
                <w:b/>
              </w:rPr>
              <w:t>Polling stations in sample</w:t>
            </w:r>
          </w:p>
        </w:tc>
      </w:tr>
      <w:tr w:rsidR="00231A16" w:rsidTr="00A85124">
        <w:tc>
          <w:tcPr>
            <w:tcW w:w="1098" w:type="dxa"/>
          </w:tcPr>
          <w:p w:rsidR="00231A16" w:rsidRDefault="00231A16" w:rsidP="00627FF3">
            <w:pPr>
              <w:spacing w:after="0"/>
            </w:pPr>
            <w:r>
              <w:t>A2</w:t>
            </w:r>
          </w:p>
        </w:tc>
        <w:tc>
          <w:tcPr>
            <w:tcW w:w="5490" w:type="dxa"/>
          </w:tcPr>
          <w:p w:rsidR="00231A16" w:rsidRPr="00077DB9" w:rsidRDefault="00231A16" w:rsidP="00627FF3">
            <w:pPr>
              <w:autoSpaceDE w:val="0"/>
              <w:autoSpaceDN w:val="0"/>
              <w:adjustRightInd w:val="0"/>
              <w:spacing w:after="0"/>
              <w:rPr>
                <w:rFonts w:ascii="TTFF4BC380t00" w:hAnsi="TTFF4BC380t00" w:cs="TTFF4BC380t00"/>
                <w:sz w:val="20"/>
                <w:szCs w:val="20"/>
              </w:rPr>
            </w:pPr>
            <w:r>
              <w:rPr>
                <w:rFonts w:ascii="TTFF4BC380t00" w:hAnsi="TTFF4BC380t00" w:cs="TTFF4BC380t00"/>
                <w:sz w:val="20"/>
                <w:szCs w:val="20"/>
              </w:rPr>
              <w:t>Polling stations in which 600 or more total votes were cast, except those already covered in A1</w:t>
            </w:r>
          </w:p>
        </w:tc>
        <w:tc>
          <w:tcPr>
            <w:tcW w:w="1440" w:type="dxa"/>
          </w:tcPr>
          <w:p w:rsidR="00231A16" w:rsidRDefault="00231A16" w:rsidP="00627FF3">
            <w:pPr>
              <w:spacing w:after="0"/>
            </w:pPr>
            <w:r>
              <w:t>299</w:t>
            </w:r>
          </w:p>
        </w:tc>
        <w:tc>
          <w:tcPr>
            <w:tcW w:w="1350" w:type="dxa"/>
          </w:tcPr>
          <w:p w:rsidR="00231A16" w:rsidRDefault="00231A16" w:rsidP="00627FF3">
            <w:pPr>
              <w:spacing w:after="0"/>
            </w:pPr>
            <w:r>
              <w:t>30</w:t>
            </w:r>
          </w:p>
        </w:tc>
      </w:tr>
      <w:tr w:rsidR="00231A16" w:rsidTr="00A85124">
        <w:tc>
          <w:tcPr>
            <w:tcW w:w="1098" w:type="dxa"/>
          </w:tcPr>
          <w:p w:rsidR="00231A16" w:rsidRDefault="00231A16" w:rsidP="00627FF3">
            <w:pPr>
              <w:spacing w:after="0"/>
            </w:pPr>
            <w:r>
              <w:t>B2</w:t>
            </w:r>
          </w:p>
        </w:tc>
        <w:tc>
          <w:tcPr>
            <w:tcW w:w="5490" w:type="dxa"/>
          </w:tcPr>
          <w:p w:rsidR="00231A16" w:rsidRPr="00077DB9" w:rsidRDefault="00231A16" w:rsidP="00627FF3">
            <w:pPr>
              <w:autoSpaceDE w:val="0"/>
              <w:autoSpaceDN w:val="0"/>
              <w:adjustRightInd w:val="0"/>
              <w:spacing w:after="0"/>
              <w:rPr>
                <w:rFonts w:ascii="TTFF4BC380t00" w:hAnsi="TTFF4BC380t00" w:cs="TTFF4BC380t00"/>
                <w:sz w:val="20"/>
                <w:szCs w:val="20"/>
              </w:rPr>
            </w:pPr>
            <w:r>
              <w:rPr>
                <w:rFonts w:ascii="TTFF4BC380t00" w:hAnsi="TTFF4BC380t00" w:cs="TTFF4BC380t00"/>
                <w:sz w:val="20"/>
                <w:szCs w:val="20"/>
              </w:rPr>
              <w:t>Polling stations in which one candidate received 95 percent or more of the total valid votes cast, except those already covered in B1</w:t>
            </w:r>
          </w:p>
        </w:tc>
        <w:tc>
          <w:tcPr>
            <w:tcW w:w="1440" w:type="dxa"/>
          </w:tcPr>
          <w:p w:rsidR="00231A16" w:rsidRDefault="00231A16" w:rsidP="00627FF3">
            <w:pPr>
              <w:spacing w:after="0"/>
            </w:pPr>
            <w:r>
              <w:t>343</w:t>
            </w:r>
          </w:p>
        </w:tc>
        <w:tc>
          <w:tcPr>
            <w:tcW w:w="1350" w:type="dxa"/>
          </w:tcPr>
          <w:p w:rsidR="00231A16" w:rsidRDefault="00231A16" w:rsidP="00627FF3">
            <w:pPr>
              <w:spacing w:after="0"/>
            </w:pPr>
            <w:r>
              <w:t>40</w:t>
            </w:r>
          </w:p>
        </w:tc>
      </w:tr>
      <w:tr w:rsidR="00231A16" w:rsidTr="00A85124">
        <w:tc>
          <w:tcPr>
            <w:tcW w:w="1098" w:type="dxa"/>
          </w:tcPr>
          <w:p w:rsidR="00231A16" w:rsidRDefault="00231A16" w:rsidP="00627FF3">
            <w:pPr>
              <w:spacing w:after="0"/>
            </w:pPr>
            <w:r>
              <w:t>C2</w:t>
            </w:r>
          </w:p>
        </w:tc>
        <w:tc>
          <w:tcPr>
            <w:tcW w:w="5490" w:type="dxa"/>
          </w:tcPr>
          <w:p w:rsidR="00231A16" w:rsidRPr="001034A4" w:rsidRDefault="00231A16" w:rsidP="00627FF3">
            <w:pPr>
              <w:autoSpaceDE w:val="0"/>
              <w:autoSpaceDN w:val="0"/>
              <w:adjustRightInd w:val="0"/>
              <w:spacing w:after="0"/>
              <w:rPr>
                <w:rFonts w:ascii="TTFF4BC380t00" w:hAnsi="TTFF4BC380t00" w:cs="TTFF4BC380t00"/>
                <w:sz w:val="20"/>
                <w:szCs w:val="20"/>
              </w:rPr>
            </w:pPr>
            <w:r>
              <w:rPr>
                <w:rFonts w:ascii="TTFF4BC380t00" w:hAnsi="TTFF4BC380t00" w:cs="TTFF4BC380t00"/>
                <w:sz w:val="20"/>
                <w:szCs w:val="20"/>
              </w:rPr>
              <w:t xml:space="preserve">Polling stations in which 600 or more total votes were cast AND in which one candidate received 95% or more of the valid votes, </w:t>
            </w:r>
          </w:p>
        </w:tc>
        <w:tc>
          <w:tcPr>
            <w:tcW w:w="1440" w:type="dxa"/>
          </w:tcPr>
          <w:p w:rsidR="00231A16" w:rsidRDefault="00231A16" w:rsidP="00627FF3">
            <w:pPr>
              <w:spacing w:after="0"/>
            </w:pPr>
            <w:r>
              <w:t>121</w:t>
            </w:r>
          </w:p>
        </w:tc>
        <w:tc>
          <w:tcPr>
            <w:tcW w:w="1350" w:type="dxa"/>
          </w:tcPr>
          <w:p w:rsidR="00231A16" w:rsidRDefault="00231A16" w:rsidP="00627FF3">
            <w:pPr>
              <w:spacing w:after="0"/>
            </w:pPr>
            <w:r>
              <w:t>14</w:t>
            </w:r>
          </w:p>
        </w:tc>
      </w:tr>
      <w:tr w:rsidR="00231A16" w:rsidRPr="00D84E6C" w:rsidTr="00A85124">
        <w:tc>
          <w:tcPr>
            <w:tcW w:w="1098" w:type="dxa"/>
          </w:tcPr>
          <w:p w:rsidR="00231A16" w:rsidRDefault="00231A16" w:rsidP="00627FF3">
            <w:pPr>
              <w:spacing w:after="0"/>
            </w:pPr>
          </w:p>
        </w:tc>
        <w:tc>
          <w:tcPr>
            <w:tcW w:w="5490" w:type="dxa"/>
          </w:tcPr>
          <w:p w:rsidR="00231A16" w:rsidRPr="00D84E6C" w:rsidRDefault="00231A16" w:rsidP="00627FF3">
            <w:pPr>
              <w:spacing w:after="0"/>
              <w:rPr>
                <w:b/>
              </w:rPr>
            </w:pPr>
            <w:r w:rsidRPr="00D84E6C">
              <w:rPr>
                <w:b/>
              </w:rPr>
              <w:t>Total new polling stations covered by</w:t>
            </w:r>
            <w:r>
              <w:rPr>
                <w:b/>
              </w:rPr>
              <w:t xml:space="preserve"> ECC O</w:t>
            </w:r>
            <w:r w:rsidRPr="00D84E6C">
              <w:rPr>
                <w:b/>
              </w:rPr>
              <w:t>rder</w:t>
            </w:r>
          </w:p>
        </w:tc>
        <w:tc>
          <w:tcPr>
            <w:tcW w:w="1440" w:type="dxa"/>
          </w:tcPr>
          <w:p w:rsidR="00231A16" w:rsidRPr="00D84E6C" w:rsidRDefault="00231A16" w:rsidP="00627FF3">
            <w:pPr>
              <w:spacing w:after="0"/>
              <w:rPr>
                <w:b/>
              </w:rPr>
            </w:pPr>
            <w:r w:rsidRPr="00D84E6C">
              <w:rPr>
                <w:b/>
              </w:rPr>
              <w:t>821</w:t>
            </w:r>
          </w:p>
        </w:tc>
        <w:tc>
          <w:tcPr>
            <w:tcW w:w="1350" w:type="dxa"/>
          </w:tcPr>
          <w:p w:rsidR="00231A16" w:rsidRPr="00D84E6C" w:rsidRDefault="00231A16" w:rsidP="00627FF3">
            <w:pPr>
              <w:spacing w:after="0"/>
              <w:rPr>
                <w:b/>
              </w:rPr>
            </w:pPr>
            <w:r w:rsidRPr="00D84E6C">
              <w:rPr>
                <w:b/>
              </w:rPr>
              <w:t>8</w:t>
            </w:r>
            <w:r>
              <w:rPr>
                <w:b/>
              </w:rPr>
              <w:t>4</w:t>
            </w:r>
          </w:p>
        </w:tc>
      </w:tr>
    </w:tbl>
    <w:p w:rsidR="00231A16" w:rsidRDefault="00231A16" w:rsidP="00880991">
      <w:pPr>
        <w:spacing w:after="80"/>
        <w:rPr>
          <w:b/>
        </w:rPr>
      </w:pPr>
    </w:p>
    <w:p w:rsidR="000023DF" w:rsidRPr="0021494C" w:rsidRDefault="000023DF" w:rsidP="00880991">
      <w:pPr>
        <w:spacing w:after="80"/>
        <w:jc w:val="both"/>
      </w:pPr>
      <w:r w:rsidRPr="0021494C">
        <w:t>The</w:t>
      </w:r>
      <w:r w:rsidR="00075930" w:rsidRPr="0021494C">
        <w:t xml:space="preserve"> </w:t>
      </w:r>
      <w:r w:rsidRPr="0021494C">
        <w:t xml:space="preserve">sample of 84 polling stations was drawn in the presence of the ECC, candidate agents and observers, on 5 October.  </w:t>
      </w:r>
    </w:p>
    <w:p w:rsidR="00BB04D6" w:rsidRDefault="0072745E" w:rsidP="00880991">
      <w:pPr>
        <w:spacing w:after="80"/>
        <w:rPr>
          <w:b/>
          <w:bCs/>
        </w:rPr>
      </w:pPr>
      <w:r>
        <w:rPr>
          <w:b/>
          <w:bCs/>
        </w:rPr>
        <w:t>After the adjustments, t</w:t>
      </w:r>
      <w:r w:rsidR="003F7D7C">
        <w:rPr>
          <w:b/>
          <w:bCs/>
        </w:rPr>
        <w:t>he total number of polling stations which fall under the criteria of the Order is 3377.</w:t>
      </w:r>
    </w:p>
    <w:p w:rsidR="003F7D7C" w:rsidRDefault="003F7D7C" w:rsidP="00627FF3">
      <w:pPr>
        <w:tabs>
          <w:tab w:val="left" w:pos="6750"/>
        </w:tabs>
        <w:rPr>
          <w:b/>
          <w:bCs/>
        </w:rPr>
      </w:pPr>
      <w:r>
        <w:rPr>
          <w:b/>
          <w:bCs/>
        </w:rPr>
        <w:t>The total number of polling stations in the sample is 343.</w:t>
      </w:r>
    </w:p>
    <w:p w:rsidR="007422AD" w:rsidRPr="00F17E15" w:rsidRDefault="007422AD" w:rsidP="00627FF3">
      <w:pPr>
        <w:spacing w:after="100"/>
        <w:jc w:val="both"/>
        <w:rPr>
          <w:b/>
          <w:bCs/>
          <w:u w:val="single"/>
        </w:rPr>
      </w:pPr>
      <w:r w:rsidRPr="00F17E15">
        <w:rPr>
          <w:b/>
          <w:bCs/>
          <w:u w:val="single"/>
        </w:rPr>
        <w:t>Audit process</w:t>
      </w:r>
    </w:p>
    <w:p w:rsidR="00BB04D6" w:rsidRPr="00075930" w:rsidRDefault="007B5807" w:rsidP="00627FF3">
      <w:pPr>
        <w:spacing w:after="100"/>
        <w:jc w:val="both"/>
      </w:pPr>
      <w:r>
        <w:t>Retrieval, of the ballot boxes took three days (September 2</w:t>
      </w:r>
      <w:r w:rsidR="001F4F59">
        <w:t>8</w:t>
      </w:r>
      <w:r>
        <w:t xml:space="preserve"> to 30) for the first randomly selected sample and two days (October 6 and </w:t>
      </w:r>
      <w:r w:rsidR="001F4F59">
        <w:t>7</w:t>
      </w:r>
      <w:r>
        <w:t xml:space="preserve">) for the second. </w:t>
      </w:r>
      <w:r w:rsidR="00FE3691">
        <w:t xml:space="preserve"> </w:t>
      </w:r>
      <w:r w:rsidR="007422AD">
        <w:t xml:space="preserve">The retrieval was done under the verification of the ECC and observation of candidate agents and observers. </w:t>
      </w:r>
    </w:p>
    <w:p w:rsidR="0031626B" w:rsidRDefault="00904DA4" w:rsidP="004E2DCC">
      <w:pPr>
        <w:spacing w:after="100"/>
      </w:pPr>
      <w:r w:rsidRPr="00100E64">
        <w:t xml:space="preserve">The audit </w:t>
      </w:r>
      <w:r>
        <w:t xml:space="preserve">ran from 5 to 8 October </w:t>
      </w:r>
      <w:r w:rsidR="007422AD">
        <w:t xml:space="preserve">. </w:t>
      </w:r>
      <w:r w:rsidR="0031626B">
        <w:t xml:space="preserve">The first </w:t>
      </w:r>
      <w:r w:rsidR="00BB04D6">
        <w:t xml:space="preserve">day </w:t>
      </w:r>
      <w:r w:rsidR="0031626B">
        <w:t>started with the removal of the 39 quarantined ballot boxes that should not have been represented in the sample. The draw for the additional 84 ballot boxes for the second three criteria was then conducted.</w:t>
      </w:r>
    </w:p>
    <w:p w:rsidR="00904DA4" w:rsidRDefault="00904DA4" w:rsidP="00075930">
      <w:pPr>
        <w:spacing w:after="100"/>
        <w:jc w:val="both"/>
      </w:pPr>
      <w:r>
        <w:t>The ballot boxes from the first three criteria were examined first while the additional boxes from the second three criteria were retrieved. These were examined on 8 October.</w:t>
      </w:r>
    </w:p>
    <w:p w:rsidR="007422AD" w:rsidRDefault="007422AD" w:rsidP="00075930">
      <w:pPr>
        <w:spacing w:after="100"/>
        <w:jc w:val="both"/>
      </w:pPr>
      <w:r>
        <w:t xml:space="preserve">The Audit was conducted by 9 teams of three people each – two from the IEC and one international adviser, all of whom had experience of the previous audits. An ECC verification officer was assigned to each team and 62 candidate agents and observers were accredited to watch the process. </w:t>
      </w:r>
    </w:p>
    <w:p w:rsidR="008230EC" w:rsidRDefault="008230EC" w:rsidP="00075930">
      <w:pPr>
        <w:spacing w:after="100"/>
        <w:jc w:val="both"/>
      </w:pPr>
      <w:r>
        <w:t xml:space="preserve">There was also a quality control team to ensure consistency in the audit. </w:t>
      </w:r>
    </w:p>
    <w:p w:rsidR="00BA13E3" w:rsidRDefault="00BA13E3" w:rsidP="008230EC">
      <w:pPr>
        <w:jc w:val="both"/>
      </w:pPr>
      <w:r w:rsidRPr="00100E64">
        <w:t xml:space="preserve">Only one box </w:t>
      </w:r>
      <w:r w:rsidR="0031626B">
        <w:t>was</w:t>
      </w:r>
      <w:r w:rsidRPr="00100E64">
        <w:t xml:space="preserve"> examined at a time by each team</w:t>
      </w:r>
      <w:r w:rsidR="008230EC">
        <w:t xml:space="preserve"> and a special checklist was completed for each examination</w:t>
      </w:r>
      <w:r w:rsidRPr="00100E64">
        <w:t>.</w:t>
      </w:r>
      <w:r w:rsidR="008230EC">
        <w:t xml:space="preserve"> The ballot boxes were visually inspected for signs of tampering, then they were opened and the contents displayed to look for physical indications of fraud. Photographic evidence was collected where appropriate. </w:t>
      </w:r>
      <w:r w:rsidRPr="00100E64">
        <w:t xml:space="preserve"> </w:t>
      </w:r>
    </w:p>
    <w:p w:rsidR="008230EC" w:rsidRPr="007438B1" w:rsidRDefault="008230EC" w:rsidP="008230EC">
      <w:pPr>
        <w:jc w:val="both"/>
        <w:rPr>
          <w:b/>
          <w:bCs/>
        </w:rPr>
      </w:pPr>
      <w:r>
        <w:t xml:space="preserve">Full details of the audit process and of the checklist used are available on the IEC website. </w:t>
      </w:r>
    </w:p>
    <w:p w:rsidR="00305244" w:rsidRPr="00F17E15" w:rsidRDefault="008230EC" w:rsidP="008230EC">
      <w:pPr>
        <w:pStyle w:val="ListParagraph"/>
        <w:spacing w:after="100" w:line="360" w:lineRule="auto"/>
        <w:ind w:left="0"/>
        <w:jc w:val="both"/>
        <w:rPr>
          <w:b/>
          <w:u w:val="single"/>
        </w:rPr>
      </w:pPr>
      <w:r w:rsidRPr="00F17E15">
        <w:rPr>
          <w:b/>
          <w:u w:val="single"/>
        </w:rPr>
        <w:t>Analysis and extrapolation of results.</w:t>
      </w:r>
    </w:p>
    <w:p w:rsidR="00926ECD" w:rsidRDefault="00DA05CA" w:rsidP="002E779E">
      <w:pPr>
        <w:pStyle w:val="LightGrid-Accent31"/>
        <w:ind w:left="0"/>
        <w:contextualSpacing w:val="0"/>
        <w:jc w:val="both"/>
      </w:pPr>
      <w:r>
        <w:t xml:space="preserve">The ECC </w:t>
      </w:r>
      <w:r w:rsidR="00CA343F">
        <w:t>consider</w:t>
      </w:r>
      <w:r w:rsidR="008230EC">
        <w:t>ed</w:t>
      </w:r>
      <w:r>
        <w:t xml:space="preserve"> the reports for each box which was audited.  It distinguish</w:t>
      </w:r>
      <w:r w:rsidR="008230EC">
        <w:t>ed</w:t>
      </w:r>
      <w:r>
        <w:t xml:space="preserve"> between anomalies or human error (such as slight miscounts) and clear and convincing </w:t>
      </w:r>
      <w:r w:rsidR="0073375B">
        <w:t xml:space="preserve">indications of </w:t>
      </w:r>
      <w:r>
        <w:t>fraud.</w:t>
      </w:r>
      <w:r w:rsidR="008230EC">
        <w:t xml:space="preserve"> It then aggregated the results from the sample in each category and extrapolated the</w:t>
      </w:r>
      <w:r w:rsidR="002E779E">
        <w:t xml:space="preserve"> percentage</w:t>
      </w:r>
      <w:r w:rsidR="008230EC">
        <w:t xml:space="preserve"> </w:t>
      </w:r>
      <w:r w:rsidR="002E779E">
        <w:t>incidence</w:t>
      </w:r>
      <w:r w:rsidR="008230EC">
        <w:t xml:space="preserve"> of fraud to the total ballots in that</w:t>
      </w:r>
      <w:r w:rsidR="006660EC">
        <w:t xml:space="preserve"> </w:t>
      </w:r>
      <w:r w:rsidR="008230EC">
        <w:t xml:space="preserve">category. </w:t>
      </w:r>
      <w:r w:rsidR="002E779E">
        <w:t>This is further explained in the ECC fact sheet</w:t>
      </w:r>
      <w:r w:rsidR="0073375B" w:rsidRPr="00717348">
        <w:t xml:space="preserve"> ‘Understanding</w:t>
      </w:r>
      <w:r w:rsidR="00717348" w:rsidRPr="00717348">
        <w:t xml:space="preserve"> the Process of ECC Policy Implementation’</w:t>
      </w:r>
    </w:p>
    <w:p w:rsidR="00C922B6" w:rsidRPr="00ED6FD5" w:rsidRDefault="002E779E" w:rsidP="002E779E">
      <w:pPr>
        <w:pStyle w:val="LightGrid-Accent31"/>
        <w:ind w:left="0"/>
        <w:contextualSpacing w:val="0"/>
        <w:jc w:val="both"/>
      </w:pPr>
      <w:r>
        <w:t xml:space="preserve">The ECC also investigated and adjudicated complaints submitted on or after </w:t>
      </w:r>
      <w:r w:rsidR="00BA4701" w:rsidRPr="00ED6FD5">
        <w:t>Election Day</w:t>
      </w:r>
      <w:r w:rsidR="00305244" w:rsidRPr="00ED6FD5">
        <w:t xml:space="preserve"> (20 August 2009)</w:t>
      </w:r>
      <w:r>
        <w:t xml:space="preserve"> as well as deciding on ballot boxes quarantined by the IEC. </w:t>
      </w:r>
      <w:r w:rsidR="00F17E15">
        <w:t>The IEC have applied these orders to the results database, as provided for in the Election Law, which has produced the final, certified results.</w:t>
      </w:r>
    </w:p>
    <w:p w:rsidR="00921386" w:rsidRPr="00F64619" w:rsidRDefault="00921386" w:rsidP="006660EC">
      <w:pPr>
        <w:spacing w:after="100"/>
        <w:jc w:val="both"/>
        <w:rPr>
          <w:b/>
          <w:bCs/>
          <w:sz w:val="24"/>
          <w:szCs w:val="24"/>
        </w:rPr>
      </w:pPr>
    </w:p>
    <w:sectPr w:rsidR="00921386" w:rsidRPr="00F64619" w:rsidSect="00907099">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8BA" w:rsidRDefault="00B438BA">
      <w:r>
        <w:separator/>
      </w:r>
    </w:p>
  </w:endnote>
  <w:endnote w:type="continuationSeparator" w:id="0">
    <w:p w:rsidR="00B438BA" w:rsidRDefault="00B438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FF4BC38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613" w:rsidRDefault="0043008F" w:rsidP="00FA5F85">
    <w:pPr>
      <w:pStyle w:val="Footer"/>
      <w:framePr w:wrap="auto" w:vAnchor="text" w:hAnchor="margin" w:xAlign="right" w:y="1"/>
      <w:rPr>
        <w:rStyle w:val="PageNumber"/>
      </w:rPr>
    </w:pPr>
    <w:r>
      <w:rPr>
        <w:rStyle w:val="PageNumber"/>
      </w:rPr>
      <w:fldChar w:fldCharType="begin"/>
    </w:r>
    <w:r w:rsidR="00361613">
      <w:rPr>
        <w:rStyle w:val="PageNumber"/>
      </w:rPr>
      <w:instrText xml:space="preserve">PAGE  </w:instrText>
    </w:r>
    <w:r>
      <w:rPr>
        <w:rStyle w:val="PageNumber"/>
      </w:rPr>
      <w:fldChar w:fldCharType="separate"/>
    </w:r>
    <w:r w:rsidR="00E12084">
      <w:rPr>
        <w:rStyle w:val="PageNumber"/>
        <w:noProof/>
      </w:rPr>
      <w:t>2</w:t>
    </w:r>
    <w:r>
      <w:rPr>
        <w:rStyle w:val="PageNumber"/>
      </w:rPr>
      <w:fldChar w:fldCharType="end"/>
    </w:r>
  </w:p>
  <w:p w:rsidR="00361613" w:rsidRDefault="00361613" w:rsidP="00CB2FA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8BA" w:rsidRDefault="00B438BA">
      <w:r>
        <w:separator/>
      </w:r>
    </w:p>
  </w:footnote>
  <w:footnote w:type="continuationSeparator" w:id="0">
    <w:p w:rsidR="00B438BA" w:rsidRDefault="00B438BA">
      <w:r>
        <w:continuationSeparator/>
      </w:r>
    </w:p>
  </w:footnote>
  <w:footnote w:id="1">
    <w:p w:rsidR="00231A16" w:rsidRDefault="00231A16" w:rsidP="00231A16">
      <w:pPr>
        <w:pStyle w:val="FootnoteText"/>
      </w:pPr>
      <w:r>
        <w:rPr>
          <w:rStyle w:val="FootnoteReference"/>
        </w:rPr>
        <w:footnoteRef/>
      </w:r>
      <w:r>
        <w:t xml:space="preserve"> These ballot boxes moved to category C2 below when the additional universes were calculated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A7C" w:rsidRDefault="008D7A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4838"/>
    <w:multiLevelType w:val="hybridMultilevel"/>
    <w:tmpl w:val="92788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592474"/>
    <w:multiLevelType w:val="hybridMultilevel"/>
    <w:tmpl w:val="92C2C466"/>
    <w:lvl w:ilvl="0" w:tplc="DE223D28">
      <w:start w:val="1"/>
      <w:numFmt w:val="bullet"/>
      <w:lvlText w:val="­"/>
      <w:lvlJc w:val="left"/>
      <w:pPr>
        <w:ind w:left="720" w:hanging="360"/>
      </w:pPr>
      <w:rPr>
        <w:rFonts w:ascii="Courier New" w:hAnsi="Courier New" w:cs="Times New Roman"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4682797"/>
    <w:multiLevelType w:val="hybridMultilevel"/>
    <w:tmpl w:val="9CB66038"/>
    <w:lvl w:ilvl="0" w:tplc="8DC8C246">
      <w:numFmt w:val="bullet"/>
      <w:lvlText w:val="-"/>
      <w:lvlJc w:val="left"/>
      <w:pPr>
        <w:ind w:left="1080" w:hanging="360"/>
      </w:pPr>
      <w:rPr>
        <w:rFonts w:ascii="Calibri" w:eastAsia="Times New Roman" w:hAnsi="Calibri"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
    <w:nsid w:val="04DD31CA"/>
    <w:multiLevelType w:val="hybridMultilevel"/>
    <w:tmpl w:val="B5F89864"/>
    <w:lvl w:ilvl="0" w:tplc="DE223D28">
      <w:start w:val="1"/>
      <w:numFmt w:val="bullet"/>
      <w:lvlText w:val="­"/>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D26B62"/>
    <w:multiLevelType w:val="hybridMultilevel"/>
    <w:tmpl w:val="DF008EE0"/>
    <w:lvl w:ilvl="0" w:tplc="DE223D28">
      <w:start w:val="1"/>
      <w:numFmt w:val="bullet"/>
      <w:lvlText w:val="­"/>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8E2192"/>
    <w:multiLevelType w:val="hybridMultilevel"/>
    <w:tmpl w:val="449A3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3B03F3"/>
    <w:multiLevelType w:val="hybridMultilevel"/>
    <w:tmpl w:val="994202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1343266"/>
    <w:multiLevelType w:val="hybridMultilevel"/>
    <w:tmpl w:val="27543A28"/>
    <w:lvl w:ilvl="0" w:tplc="8728706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520144A"/>
    <w:multiLevelType w:val="hybridMultilevel"/>
    <w:tmpl w:val="01CEBA8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156D1D1D"/>
    <w:multiLevelType w:val="hybridMultilevel"/>
    <w:tmpl w:val="4560F4F2"/>
    <w:lvl w:ilvl="0" w:tplc="DE223D28">
      <w:start w:val="1"/>
      <w:numFmt w:val="bullet"/>
      <w:lvlText w:val="­"/>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8B77C8"/>
    <w:multiLevelType w:val="hybridMultilevel"/>
    <w:tmpl w:val="6930AFDC"/>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AB95459"/>
    <w:multiLevelType w:val="hybridMultilevel"/>
    <w:tmpl w:val="9BAA6D9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8951B56"/>
    <w:multiLevelType w:val="hybridMultilevel"/>
    <w:tmpl w:val="F746DEEC"/>
    <w:lvl w:ilvl="0" w:tplc="DE223D28">
      <w:start w:val="1"/>
      <w:numFmt w:val="bullet"/>
      <w:lvlText w:val="­"/>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7B1802"/>
    <w:multiLevelType w:val="hybridMultilevel"/>
    <w:tmpl w:val="9672048A"/>
    <w:lvl w:ilvl="0" w:tplc="3D009DF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29D46B7E"/>
    <w:multiLevelType w:val="hybridMultilevel"/>
    <w:tmpl w:val="112E8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F730CD"/>
    <w:multiLevelType w:val="hybridMultilevel"/>
    <w:tmpl w:val="F06AB748"/>
    <w:lvl w:ilvl="0" w:tplc="154421FA">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nsid w:val="34E26E40"/>
    <w:multiLevelType w:val="hybridMultilevel"/>
    <w:tmpl w:val="AEFA474A"/>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36662F0D"/>
    <w:multiLevelType w:val="hybridMultilevel"/>
    <w:tmpl w:val="5A92104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F84678D"/>
    <w:multiLevelType w:val="hybridMultilevel"/>
    <w:tmpl w:val="6E2AD096"/>
    <w:lvl w:ilvl="0" w:tplc="CFBAA8C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49EF1C48"/>
    <w:multiLevelType w:val="hybridMultilevel"/>
    <w:tmpl w:val="7BC6F80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0">
    <w:nsid w:val="579A7F7F"/>
    <w:multiLevelType w:val="hybridMultilevel"/>
    <w:tmpl w:val="1A207EE8"/>
    <w:lvl w:ilvl="0" w:tplc="DE223D28">
      <w:start w:val="1"/>
      <w:numFmt w:val="bullet"/>
      <w:lvlText w:val="­"/>
      <w:lvlJc w:val="left"/>
      <w:pPr>
        <w:ind w:left="360" w:hanging="360"/>
      </w:pPr>
      <w:rPr>
        <w:rFonts w:ascii="Courier New" w:hAnsi="Courier Ne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C7421BC"/>
    <w:multiLevelType w:val="hybridMultilevel"/>
    <w:tmpl w:val="F4A4D37A"/>
    <w:lvl w:ilvl="0" w:tplc="6068113E">
      <w:start w:val="1"/>
      <w:numFmt w:val="decimal"/>
      <w:lvlText w:val="%1."/>
      <w:lvlJc w:val="left"/>
      <w:pPr>
        <w:ind w:left="99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FC2600B"/>
    <w:multiLevelType w:val="hybridMultilevel"/>
    <w:tmpl w:val="FD486E4C"/>
    <w:lvl w:ilvl="0" w:tplc="4CEECE2C">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3">
    <w:nsid w:val="601310E4"/>
    <w:multiLevelType w:val="hybridMultilevel"/>
    <w:tmpl w:val="5442C272"/>
    <w:lvl w:ilvl="0" w:tplc="153046DC">
      <w:start w:val="1"/>
      <w:numFmt w:val="decimal"/>
      <w:lvlText w:val="%1)"/>
      <w:lvlJc w:val="left"/>
      <w:pPr>
        <w:ind w:left="1080" w:hanging="360"/>
      </w:pPr>
      <w:rPr>
        <w:rFonts w:ascii="Calibri" w:eastAsia="Times New Roman" w:hAnsi="Calibr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62B20F8E"/>
    <w:multiLevelType w:val="hybridMultilevel"/>
    <w:tmpl w:val="DBACE91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F3223C1"/>
    <w:multiLevelType w:val="hybridMultilevel"/>
    <w:tmpl w:val="D5E666A0"/>
    <w:lvl w:ilvl="0" w:tplc="DE223D28">
      <w:start w:val="1"/>
      <w:numFmt w:val="bullet"/>
      <w:lvlText w:val="­"/>
      <w:lvlJc w:val="left"/>
      <w:pPr>
        <w:ind w:left="360" w:hanging="360"/>
      </w:pPr>
      <w:rPr>
        <w:rFonts w:ascii="Courier New" w:hAnsi="Courier Ne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37C359E"/>
    <w:multiLevelType w:val="hybridMultilevel"/>
    <w:tmpl w:val="5A443B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27">
    <w:nsid w:val="74791159"/>
    <w:multiLevelType w:val="hybridMultilevel"/>
    <w:tmpl w:val="ABA43630"/>
    <w:lvl w:ilvl="0" w:tplc="CFBAA8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EF44A6"/>
    <w:multiLevelType w:val="hybridMultilevel"/>
    <w:tmpl w:val="C0D09B32"/>
    <w:lvl w:ilvl="0" w:tplc="DE223D28">
      <w:start w:val="1"/>
      <w:numFmt w:val="bullet"/>
      <w:lvlText w:val="­"/>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585D29"/>
    <w:multiLevelType w:val="hybridMultilevel"/>
    <w:tmpl w:val="1AE8B374"/>
    <w:lvl w:ilvl="0" w:tplc="DE223D28">
      <w:start w:val="1"/>
      <w:numFmt w:val="bullet"/>
      <w:lvlText w:val="­"/>
      <w:lvlJc w:val="left"/>
      <w:pPr>
        <w:ind w:left="360" w:hanging="360"/>
      </w:pPr>
      <w:rPr>
        <w:rFonts w:ascii="Courier New" w:hAnsi="Courier New" w:cs="Times New Roman" w:hint="default"/>
      </w:rPr>
    </w:lvl>
    <w:lvl w:ilvl="1" w:tplc="DE223D28">
      <w:start w:val="1"/>
      <w:numFmt w:val="bullet"/>
      <w:lvlText w:val="­"/>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FBB6B3E"/>
    <w:multiLevelType w:val="hybridMultilevel"/>
    <w:tmpl w:val="CE94A714"/>
    <w:lvl w:ilvl="0" w:tplc="0409000B">
      <w:start w:val="1"/>
      <w:numFmt w:val="bullet"/>
      <w:lvlText w:val=""/>
      <w:lvlJc w:val="left"/>
      <w:pPr>
        <w:ind w:left="1080" w:hanging="360"/>
      </w:pPr>
      <w:rPr>
        <w:rFonts w:ascii="Wingdings" w:hAnsi="Wingdings" w:cs="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6"/>
  </w:num>
  <w:num w:numId="2">
    <w:abstractNumId w:val="13"/>
  </w:num>
  <w:num w:numId="3">
    <w:abstractNumId w:val="11"/>
  </w:num>
  <w:num w:numId="4">
    <w:abstractNumId w:val="17"/>
  </w:num>
  <w:num w:numId="5">
    <w:abstractNumId w:val="21"/>
  </w:num>
  <w:num w:numId="6">
    <w:abstractNumId w:val="10"/>
  </w:num>
  <w:num w:numId="7">
    <w:abstractNumId w:val="7"/>
  </w:num>
  <w:num w:numId="8">
    <w:abstractNumId w:val="15"/>
  </w:num>
  <w:num w:numId="9">
    <w:abstractNumId w:val="23"/>
  </w:num>
  <w:num w:numId="10">
    <w:abstractNumId w:val="2"/>
  </w:num>
  <w:num w:numId="11">
    <w:abstractNumId w:val="22"/>
  </w:num>
  <w:num w:numId="12">
    <w:abstractNumId w:val="5"/>
  </w:num>
  <w:num w:numId="13">
    <w:abstractNumId w:val="16"/>
  </w:num>
  <w:num w:numId="14">
    <w:abstractNumId w:val="8"/>
  </w:num>
  <w:num w:numId="15">
    <w:abstractNumId w:val="19"/>
  </w:num>
  <w:num w:numId="16">
    <w:abstractNumId w:val="24"/>
  </w:num>
  <w:num w:numId="17">
    <w:abstractNumId w:val="0"/>
  </w:num>
  <w:num w:numId="18">
    <w:abstractNumId w:val="30"/>
  </w:num>
  <w:num w:numId="19">
    <w:abstractNumId w:val="26"/>
  </w:num>
  <w:num w:numId="20">
    <w:abstractNumId w:val="18"/>
  </w:num>
  <w:num w:numId="21">
    <w:abstractNumId w:val="29"/>
  </w:num>
  <w:num w:numId="22">
    <w:abstractNumId w:val="12"/>
  </w:num>
  <w:num w:numId="23">
    <w:abstractNumId w:val="14"/>
  </w:num>
  <w:num w:numId="24">
    <w:abstractNumId w:val="20"/>
  </w:num>
  <w:num w:numId="25">
    <w:abstractNumId w:val="25"/>
  </w:num>
  <w:num w:numId="26">
    <w:abstractNumId w:val="1"/>
  </w:num>
  <w:num w:numId="27">
    <w:abstractNumId w:val="27"/>
  </w:num>
  <w:num w:numId="28">
    <w:abstractNumId w:val="4"/>
  </w:num>
  <w:num w:numId="29">
    <w:abstractNumId w:val="28"/>
  </w:num>
  <w:num w:numId="30">
    <w:abstractNumId w:val="3"/>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7D45"/>
    <w:rsid w:val="000023DF"/>
    <w:rsid w:val="00040679"/>
    <w:rsid w:val="00042BDB"/>
    <w:rsid w:val="00051D0F"/>
    <w:rsid w:val="000601A9"/>
    <w:rsid w:val="00062D55"/>
    <w:rsid w:val="0007048B"/>
    <w:rsid w:val="00075930"/>
    <w:rsid w:val="000903BD"/>
    <w:rsid w:val="000B6955"/>
    <w:rsid w:val="000B6CCD"/>
    <w:rsid w:val="000F7F00"/>
    <w:rsid w:val="00136954"/>
    <w:rsid w:val="00137EB4"/>
    <w:rsid w:val="00147B52"/>
    <w:rsid w:val="00162509"/>
    <w:rsid w:val="001A19CE"/>
    <w:rsid w:val="001A458C"/>
    <w:rsid w:val="001A6FCD"/>
    <w:rsid w:val="001B0BE0"/>
    <w:rsid w:val="001B11D6"/>
    <w:rsid w:val="001B52DB"/>
    <w:rsid w:val="001C750C"/>
    <w:rsid w:val="001E29B6"/>
    <w:rsid w:val="001F4F59"/>
    <w:rsid w:val="00203611"/>
    <w:rsid w:val="0021494C"/>
    <w:rsid w:val="00231A16"/>
    <w:rsid w:val="00243D0C"/>
    <w:rsid w:val="0027112A"/>
    <w:rsid w:val="00280CC2"/>
    <w:rsid w:val="00287DCE"/>
    <w:rsid w:val="002A0E0E"/>
    <w:rsid w:val="002C0C3D"/>
    <w:rsid w:val="002C4534"/>
    <w:rsid w:val="002C46CC"/>
    <w:rsid w:val="002C7D09"/>
    <w:rsid w:val="002E4065"/>
    <w:rsid w:val="002E779E"/>
    <w:rsid w:val="00305244"/>
    <w:rsid w:val="003156E8"/>
    <w:rsid w:val="0031626B"/>
    <w:rsid w:val="00337884"/>
    <w:rsid w:val="00357327"/>
    <w:rsid w:val="00361613"/>
    <w:rsid w:val="0036193D"/>
    <w:rsid w:val="00367880"/>
    <w:rsid w:val="0037420B"/>
    <w:rsid w:val="00375254"/>
    <w:rsid w:val="00390966"/>
    <w:rsid w:val="003B0BDA"/>
    <w:rsid w:val="003D31BD"/>
    <w:rsid w:val="003D787B"/>
    <w:rsid w:val="003F4BE4"/>
    <w:rsid w:val="003F7D7C"/>
    <w:rsid w:val="00414309"/>
    <w:rsid w:val="0043008F"/>
    <w:rsid w:val="0043680B"/>
    <w:rsid w:val="00465B9E"/>
    <w:rsid w:val="00472D68"/>
    <w:rsid w:val="00477764"/>
    <w:rsid w:val="0049710A"/>
    <w:rsid w:val="00497950"/>
    <w:rsid w:val="004A5BD5"/>
    <w:rsid w:val="004B702F"/>
    <w:rsid w:val="004C15DC"/>
    <w:rsid w:val="004E2DCC"/>
    <w:rsid w:val="004E6FFA"/>
    <w:rsid w:val="004F14BC"/>
    <w:rsid w:val="00556DB1"/>
    <w:rsid w:val="0056338C"/>
    <w:rsid w:val="00572D24"/>
    <w:rsid w:val="00582038"/>
    <w:rsid w:val="00590970"/>
    <w:rsid w:val="00591E32"/>
    <w:rsid w:val="00592375"/>
    <w:rsid w:val="005C5042"/>
    <w:rsid w:val="005D48AA"/>
    <w:rsid w:val="005E6D69"/>
    <w:rsid w:val="005E7608"/>
    <w:rsid w:val="00611967"/>
    <w:rsid w:val="00612651"/>
    <w:rsid w:val="00612F3D"/>
    <w:rsid w:val="00620F72"/>
    <w:rsid w:val="00625AAB"/>
    <w:rsid w:val="00627FF3"/>
    <w:rsid w:val="00631CBE"/>
    <w:rsid w:val="00637F92"/>
    <w:rsid w:val="00642A55"/>
    <w:rsid w:val="00654A0E"/>
    <w:rsid w:val="00656A50"/>
    <w:rsid w:val="00664518"/>
    <w:rsid w:val="006660EC"/>
    <w:rsid w:val="0067189F"/>
    <w:rsid w:val="006B52C7"/>
    <w:rsid w:val="006D6CA6"/>
    <w:rsid w:val="006F0768"/>
    <w:rsid w:val="00700C50"/>
    <w:rsid w:val="00712529"/>
    <w:rsid w:val="00717348"/>
    <w:rsid w:val="00717632"/>
    <w:rsid w:val="00722E7E"/>
    <w:rsid w:val="0072745E"/>
    <w:rsid w:val="0073375B"/>
    <w:rsid w:val="007422AD"/>
    <w:rsid w:val="00747D40"/>
    <w:rsid w:val="00750D79"/>
    <w:rsid w:val="00766E6B"/>
    <w:rsid w:val="00793FB4"/>
    <w:rsid w:val="007A48D8"/>
    <w:rsid w:val="007B5807"/>
    <w:rsid w:val="008230EC"/>
    <w:rsid w:val="00825F05"/>
    <w:rsid w:val="00826DB7"/>
    <w:rsid w:val="00834EA9"/>
    <w:rsid w:val="00836127"/>
    <w:rsid w:val="00846464"/>
    <w:rsid w:val="008740B5"/>
    <w:rsid w:val="00877F89"/>
    <w:rsid w:val="00880991"/>
    <w:rsid w:val="00887248"/>
    <w:rsid w:val="00890792"/>
    <w:rsid w:val="00894E10"/>
    <w:rsid w:val="008C2395"/>
    <w:rsid w:val="008D5DE4"/>
    <w:rsid w:val="008D64B3"/>
    <w:rsid w:val="008D7A7C"/>
    <w:rsid w:val="008F2D00"/>
    <w:rsid w:val="009006CD"/>
    <w:rsid w:val="00904DA4"/>
    <w:rsid w:val="00907099"/>
    <w:rsid w:val="00907992"/>
    <w:rsid w:val="00921386"/>
    <w:rsid w:val="00926ECD"/>
    <w:rsid w:val="009330B8"/>
    <w:rsid w:val="009344D7"/>
    <w:rsid w:val="00935AB9"/>
    <w:rsid w:val="0096582D"/>
    <w:rsid w:val="009A40AE"/>
    <w:rsid w:val="009C2196"/>
    <w:rsid w:val="009C2ACC"/>
    <w:rsid w:val="009C53D9"/>
    <w:rsid w:val="00A00BB7"/>
    <w:rsid w:val="00A133F6"/>
    <w:rsid w:val="00A21564"/>
    <w:rsid w:val="00A23190"/>
    <w:rsid w:val="00A261DA"/>
    <w:rsid w:val="00A3285B"/>
    <w:rsid w:val="00A45289"/>
    <w:rsid w:val="00A529A3"/>
    <w:rsid w:val="00A85257"/>
    <w:rsid w:val="00AB3E5E"/>
    <w:rsid w:val="00AB4B4E"/>
    <w:rsid w:val="00AD6A2A"/>
    <w:rsid w:val="00B153A8"/>
    <w:rsid w:val="00B438BA"/>
    <w:rsid w:val="00B54452"/>
    <w:rsid w:val="00B54B8B"/>
    <w:rsid w:val="00BA13E3"/>
    <w:rsid w:val="00BA2C01"/>
    <w:rsid w:val="00BA4701"/>
    <w:rsid w:val="00BB04D6"/>
    <w:rsid w:val="00BB3208"/>
    <w:rsid w:val="00C30158"/>
    <w:rsid w:val="00C3421A"/>
    <w:rsid w:val="00C342F3"/>
    <w:rsid w:val="00C37149"/>
    <w:rsid w:val="00C61A7B"/>
    <w:rsid w:val="00C6493E"/>
    <w:rsid w:val="00C87D45"/>
    <w:rsid w:val="00C91C2E"/>
    <w:rsid w:val="00C922B6"/>
    <w:rsid w:val="00CA343F"/>
    <w:rsid w:val="00CA4892"/>
    <w:rsid w:val="00CA5002"/>
    <w:rsid w:val="00CA71EB"/>
    <w:rsid w:val="00CB2FA8"/>
    <w:rsid w:val="00CD1A72"/>
    <w:rsid w:val="00CE5949"/>
    <w:rsid w:val="00CE6861"/>
    <w:rsid w:val="00CF2B3D"/>
    <w:rsid w:val="00D107F8"/>
    <w:rsid w:val="00D3742F"/>
    <w:rsid w:val="00D4666E"/>
    <w:rsid w:val="00D555EB"/>
    <w:rsid w:val="00D743DD"/>
    <w:rsid w:val="00D77960"/>
    <w:rsid w:val="00D835F0"/>
    <w:rsid w:val="00D933A4"/>
    <w:rsid w:val="00D93728"/>
    <w:rsid w:val="00DA05CA"/>
    <w:rsid w:val="00DA777C"/>
    <w:rsid w:val="00DB49B0"/>
    <w:rsid w:val="00DD012A"/>
    <w:rsid w:val="00DD29ED"/>
    <w:rsid w:val="00DE55EF"/>
    <w:rsid w:val="00DF0EF4"/>
    <w:rsid w:val="00DF6032"/>
    <w:rsid w:val="00E12084"/>
    <w:rsid w:val="00E1555F"/>
    <w:rsid w:val="00E247F2"/>
    <w:rsid w:val="00E578A8"/>
    <w:rsid w:val="00E57A1B"/>
    <w:rsid w:val="00E65952"/>
    <w:rsid w:val="00E80001"/>
    <w:rsid w:val="00E81DA0"/>
    <w:rsid w:val="00E84DA3"/>
    <w:rsid w:val="00E940A7"/>
    <w:rsid w:val="00EA29CC"/>
    <w:rsid w:val="00ED3228"/>
    <w:rsid w:val="00ED35BA"/>
    <w:rsid w:val="00EE2354"/>
    <w:rsid w:val="00EE2C87"/>
    <w:rsid w:val="00EE4CCB"/>
    <w:rsid w:val="00EE69A4"/>
    <w:rsid w:val="00EF012F"/>
    <w:rsid w:val="00F05260"/>
    <w:rsid w:val="00F118A9"/>
    <w:rsid w:val="00F17399"/>
    <w:rsid w:val="00F17E15"/>
    <w:rsid w:val="00F3286C"/>
    <w:rsid w:val="00F64619"/>
    <w:rsid w:val="00F706C9"/>
    <w:rsid w:val="00F73372"/>
    <w:rsid w:val="00F80797"/>
    <w:rsid w:val="00F8780F"/>
    <w:rsid w:val="00F93838"/>
    <w:rsid w:val="00FA5F85"/>
    <w:rsid w:val="00FA6A74"/>
    <w:rsid w:val="00FB65E8"/>
    <w:rsid w:val="00FD4241"/>
    <w:rsid w:val="00FE36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E5E"/>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C87D45"/>
    <w:pPr>
      <w:ind w:left="720"/>
    </w:pPr>
  </w:style>
  <w:style w:type="paragraph" w:customStyle="1" w:styleId="SingleTxt">
    <w:name w:val="__Single Txt"/>
    <w:basedOn w:val="Normal"/>
    <w:uiPriority w:val="99"/>
    <w:rsid w:val="00C91C2E"/>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val="en-GB"/>
    </w:rPr>
  </w:style>
  <w:style w:type="paragraph" w:styleId="BalloonText">
    <w:name w:val="Balloon Text"/>
    <w:basedOn w:val="Normal"/>
    <w:link w:val="BalloonTextChar"/>
    <w:uiPriority w:val="99"/>
    <w:semiHidden/>
    <w:rsid w:val="00F646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7248"/>
    <w:rPr>
      <w:rFonts w:ascii="Times New Roman" w:hAnsi="Times New Roman" w:cs="Times New Roman"/>
      <w:sz w:val="2"/>
      <w:szCs w:val="2"/>
    </w:rPr>
  </w:style>
  <w:style w:type="character" w:customStyle="1" w:styleId="ListParagraphChar">
    <w:name w:val="List Paragraph Char"/>
    <w:basedOn w:val="DefaultParagraphFont"/>
    <w:link w:val="ListParagraph"/>
    <w:uiPriority w:val="99"/>
    <w:locked/>
    <w:rsid w:val="00C3421A"/>
    <w:rPr>
      <w:rFonts w:ascii="Calibri" w:hAnsi="Calibri" w:cs="Calibri"/>
      <w:sz w:val="22"/>
      <w:szCs w:val="22"/>
      <w:lang w:val="en-US" w:eastAsia="en-US"/>
    </w:rPr>
  </w:style>
  <w:style w:type="paragraph" w:styleId="Footer">
    <w:name w:val="footer"/>
    <w:basedOn w:val="Normal"/>
    <w:link w:val="FooterChar"/>
    <w:uiPriority w:val="99"/>
    <w:rsid w:val="00CB2FA8"/>
    <w:pPr>
      <w:tabs>
        <w:tab w:val="center" w:pos="4320"/>
        <w:tab w:val="right" w:pos="8640"/>
      </w:tabs>
    </w:pPr>
  </w:style>
  <w:style w:type="character" w:customStyle="1" w:styleId="FooterChar">
    <w:name w:val="Footer Char"/>
    <w:basedOn w:val="DefaultParagraphFont"/>
    <w:link w:val="Footer"/>
    <w:uiPriority w:val="99"/>
    <w:semiHidden/>
    <w:rsid w:val="00F427B6"/>
    <w:rPr>
      <w:rFonts w:cs="Calibri"/>
    </w:rPr>
  </w:style>
  <w:style w:type="character" w:styleId="PageNumber">
    <w:name w:val="page number"/>
    <w:basedOn w:val="DefaultParagraphFont"/>
    <w:uiPriority w:val="99"/>
    <w:rsid w:val="00CB2FA8"/>
  </w:style>
  <w:style w:type="table" w:styleId="TableGrid">
    <w:name w:val="Table Grid"/>
    <w:basedOn w:val="TableNormal"/>
    <w:uiPriority w:val="59"/>
    <w:locked/>
    <w:rsid w:val="000023DF"/>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D7A7C"/>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023DF"/>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0023DF"/>
    <w:rPr>
      <w:vertAlign w:val="superscript"/>
    </w:rPr>
  </w:style>
  <w:style w:type="character" w:styleId="CommentReference">
    <w:name w:val="annotation reference"/>
    <w:basedOn w:val="DefaultParagraphFont"/>
    <w:uiPriority w:val="99"/>
    <w:semiHidden/>
    <w:unhideWhenUsed/>
    <w:rsid w:val="00592375"/>
    <w:rPr>
      <w:sz w:val="16"/>
      <w:szCs w:val="16"/>
    </w:rPr>
  </w:style>
  <w:style w:type="paragraph" w:styleId="CommentText">
    <w:name w:val="annotation text"/>
    <w:basedOn w:val="Normal"/>
    <w:link w:val="CommentTextChar"/>
    <w:uiPriority w:val="99"/>
    <w:semiHidden/>
    <w:unhideWhenUsed/>
    <w:rsid w:val="00592375"/>
    <w:pPr>
      <w:spacing w:line="240" w:lineRule="auto"/>
    </w:pPr>
    <w:rPr>
      <w:sz w:val="20"/>
      <w:szCs w:val="20"/>
    </w:rPr>
  </w:style>
  <w:style w:type="character" w:customStyle="1" w:styleId="CommentTextChar">
    <w:name w:val="Comment Text Char"/>
    <w:basedOn w:val="DefaultParagraphFont"/>
    <w:link w:val="CommentText"/>
    <w:uiPriority w:val="99"/>
    <w:semiHidden/>
    <w:rsid w:val="00592375"/>
    <w:rPr>
      <w:rFonts w:cs="Calibri"/>
      <w:sz w:val="20"/>
      <w:szCs w:val="20"/>
    </w:rPr>
  </w:style>
  <w:style w:type="paragraph" w:styleId="CommentSubject">
    <w:name w:val="annotation subject"/>
    <w:basedOn w:val="CommentText"/>
    <w:next w:val="CommentText"/>
    <w:link w:val="CommentSubjectChar"/>
    <w:uiPriority w:val="99"/>
    <w:semiHidden/>
    <w:unhideWhenUsed/>
    <w:rsid w:val="00592375"/>
    <w:rPr>
      <w:b/>
      <w:bCs/>
    </w:rPr>
  </w:style>
  <w:style w:type="character" w:customStyle="1" w:styleId="CommentSubjectChar">
    <w:name w:val="Comment Subject Char"/>
    <w:basedOn w:val="CommentTextChar"/>
    <w:link w:val="CommentSubject"/>
    <w:uiPriority w:val="99"/>
    <w:semiHidden/>
    <w:rsid w:val="00592375"/>
    <w:rPr>
      <w:b/>
      <w:bCs/>
    </w:rPr>
  </w:style>
  <w:style w:type="paragraph" w:customStyle="1" w:styleId="LightGrid-Accent31">
    <w:name w:val="Light Grid - Accent 31"/>
    <w:basedOn w:val="Normal"/>
    <w:uiPriority w:val="34"/>
    <w:qFormat/>
    <w:rsid w:val="00DA05CA"/>
    <w:pPr>
      <w:ind w:left="720"/>
      <w:contextualSpacing/>
    </w:pPr>
    <w:rPr>
      <w:rFonts w:cs="Times New Roman"/>
    </w:rPr>
  </w:style>
  <w:style w:type="paragraph" w:styleId="Header">
    <w:name w:val="header"/>
    <w:basedOn w:val="Normal"/>
    <w:link w:val="HeaderChar"/>
    <w:uiPriority w:val="99"/>
    <w:semiHidden/>
    <w:unhideWhenUsed/>
    <w:rsid w:val="008D7A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7A7C"/>
    <w:rPr>
      <w:rFonts w:cs="Calibri"/>
      <w:sz w:val="22"/>
      <w:szCs w:val="22"/>
    </w:rPr>
  </w:style>
  <w:style w:type="paragraph" w:styleId="Revision">
    <w:name w:val="Revision"/>
    <w:hidden/>
    <w:uiPriority w:val="99"/>
    <w:semiHidden/>
    <w:rsid w:val="008D7A7C"/>
    <w:rPr>
      <w:rFonts w:cs="Calibri"/>
      <w:sz w:val="22"/>
      <w:szCs w:val="22"/>
    </w:rPr>
  </w:style>
  <w:style w:type="table" w:customStyle="1" w:styleId="Style1">
    <w:name w:val="Style1"/>
    <w:basedOn w:val="TableNormal"/>
    <w:uiPriority w:val="99"/>
    <w:qFormat/>
    <w:rsid w:val="002C46CC"/>
    <w:tblPr>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21494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ec.org.af/Content.asp?sect=4&amp;page=au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BFBB2-30C6-41F3-8945-FE0BFD37D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Independent Elections Commission (IEC)</vt:lpstr>
    </vt:vector>
  </TitlesOfParts>
  <Company/>
  <LinksUpToDate>false</LinksUpToDate>
  <CharactersWithSpaces>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Elections Commission (IEC)</dc:title>
  <dc:creator>Shalva Kipshidze</dc:creator>
  <cp:lastModifiedBy>Barbara Smith</cp:lastModifiedBy>
  <cp:revision>6</cp:revision>
  <cp:lastPrinted>2009-10-11T05:37:00Z</cp:lastPrinted>
  <dcterms:created xsi:type="dcterms:W3CDTF">2009-10-17T08:56:00Z</dcterms:created>
  <dcterms:modified xsi:type="dcterms:W3CDTF">2009-10-17T09:32:00Z</dcterms:modified>
</cp:coreProperties>
</file>